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2"/>
        <w:spacing w:before="0" w:after="0" w:line="360" w:lineRule="auto"/>
        <w:jc w:val="center"/>
        <w:rPr>
          <w:rFonts w:hint="eastAsia" w:ascii="Times New Roman" w:hAnsi="Times New Roman" w:eastAsia="宋体"/>
          <w:color w:val="auto"/>
          <w:sz w:val="32"/>
          <w:szCs w:val="32"/>
          <w:lang w:val="en-US" w:eastAsia="zh-CN"/>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高频电刀</w:t>
      </w:r>
      <w:r>
        <w:rPr>
          <w:rFonts w:hint="eastAsia" w:ascii="Times New Roman" w:hAnsi="Times New Roman"/>
          <w:color w:val="auto"/>
          <w:sz w:val="32"/>
          <w:szCs w:val="32"/>
        </w:rPr>
        <w:t>的采购公告</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第二次</w:t>
      </w:r>
      <w:r>
        <w:rPr>
          <w:rFonts w:hint="eastAsia" w:ascii="Times New Roman" w:hAnsi="Times New Roman"/>
          <w:color w:val="auto"/>
          <w:sz w:val="32"/>
          <w:szCs w:val="32"/>
          <w:lang w:eastAsia="zh-CN"/>
        </w:rPr>
        <w:t>）</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高频电刀</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eastAsia="zh-CN"/>
        </w:rPr>
        <w:t>高频电刀</w:t>
      </w:r>
      <w:r>
        <w:rPr>
          <w:rFonts w:ascii="Times New Roman" w:hAnsi="Times New Roman"/>
          <w:bCs/>
          <w:color w:val="auto"/>
          <w:sz w:val="24"/>
        </w:rPr>
        <w:t>采购项目</w:t>
      </w:r>
      <w:r>
        <w:rPr>
          <w:rFonts w:hint="eastAsia" w:ascii="Times New Roman" w:hAnsi="Times New Roman"/>
          <w:bCs/>
          <w:color w:val="auto"/>
          <w:sz w:val="24"/>
          <w:lang w:eastAsia="zh-CN"/>
        </w:rPr>
        <w:t>（</w:t>
      </w:r>
      <w:r>
        <w:rPr>
          <w:rFonts w:hint="eastAsia" w:ascii="Times New Roman" w:hAnsi="Times New Roman"/>
          <w:bCs/>
          <w:color w:val="auto"/>
          <w:sz w:val="24"/>
          <w:lang w:val="en-US" w:eastAsia="zh-CN"/>
        </w:rPr>
        <w:t>第二次</w:t>
      </w:r>
      <w:r>
        <w:rPr>
          <w:rFonts w:hint="eastAsia" w:ascii="Times New Roman" w:hAnsi="Times New Roman"/>
          <w:bCs/>
          <w:color w:val="auto"/>
          <w:sz w:val="24"/>
          <w:lang w:eastAsia="zh-CN"/>
        </w:rPr>
        <w:t>）</w:t>
      </w:r>
      <w:r>
        <w:rPr>
          <w:rFonts w:ascii="Times New Roman" w:hAnsi="Times New Roman"/>
          <w:bCs/>
          <w:color w:val="auto"/>
          <w:sz w:val="24"/>
        </w:rPr>
        <w:t>。</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462"/>
        <w:gridCol w:w="2181"/>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2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采购限价</w:t>
            </w:r>
            <w:r>
              <w:rPr>
                <w:rFonts w:hint="eastAsia" w:ascii="Times New Roman" w:hAnsi="Times New Roman"/>
                <w:b/>
                <w:color w:val="auto"/>
                <w:sz w:val="24"/>
              </w:rPr>
              <w:t>（万元）</w:t>
            </w:r>
          </w:p>
        </w:tc>
        <w:tc>
          <w:tcPr>
            <w:tcW w:w="173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高频电刀</w:t>
            </w:r>
          </w:p>
        </w:tc>
        <w:tc>
          <w:tcPr>
            <w:tcW w:w="8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2</w:t>
            </w:r>
            <w:r>
              <w:rPr>
                <w:rFonts w:hint="eastAsia" w:ascii="Times New Roman" w:hAnsi="Times New Roman"/>
                <w:color w:val="auto"/>
                <w:sz w:val="24"/>
              </w:rPr>
              <w:t>台</w:t>
            </w:r>
          </w:p>
        </w:tc>
        <w:tc>
          <w:tcPr>
            <w:tcW w:w="12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20</w:t>
            </w:r>
          </w:p>
        </w:tc>
        <w:tc>
          <w:tcPr>
            <w:tcW w:w="17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b w:val="0"/>
          <w:bCs w:val="0"/>
          <w:color w:val="auto"/>
          <w:sz w:val="24"/>
        </w:rPr>
        <w:t>20</w:t>
      </w:r>
      <w:r>
        <w:rPr>
          <w:rFonts w:ascii="Times New Roman" w:hAnsi="Times New Roman"/>
          <w:color w:val="auto"/>
          <w:sz w:val="24"/>
        </w:rPr>
        <w:t>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14</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18</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21</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21</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rPr>
        <w:t>3</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hint="eastAsia" w:ascii="Times New Roman" w:hAnsi="Times New Roman" w:eastAsia="宋体"/>
          <w:b/>
          <w:color w:val="auto"/>
          <w:kern w:val="0"/>
          <w:sz w:val="24"/>
          <w:lang w:eastAsia="zh-CN"/>
        </w:rPr>
      </w:pPr>
      <w:r>
        <w:rPr>
          <w:rFonts w:hint="eastAsia" w:ascii="Times New Roman" w:hAnsi="Times New Roman"/>
          <w:b/>
          <w:bCs/>
          <w:color w:val="auto"/>
          <w:sz w:val="24"/>
        </w:rPr>
        <w:t>九、比选文件详见附件</w:t>
      </w:r>
      <w:r>
        <w:rPr>
          <w:rFonts w:hint="eastAsia" w:ascii="Times New Roman" w:hAnsi="Times New Roman"/>
          <w:b/>
          <w:bCs/>
          <w:color w:val="auto"/>
          <w:sz w:val="24"/>
          <w:lang w:eastAsia="zh-CN"/>
        </w:rPr>
        <w:t>。</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14</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关于高频电刀采购的比选文件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经医院研究决定，采购</w:t>
      </w:r>
      <w:r>
        <w:rPr>
          <w:rFonts w:hint="eastAsia" w:ascii="Times New Roman" w:hAnsi="Times New Roman"/>
          <w:color w:val="auto"/>
          <w:sz w:val="24"/>
          <w:lang w:eastAsia="zh-CN"/>
        </w:rPr>
        <w:t>高频电刀</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eastAsia="zh-CN"/>
        </w:rPr>
        <w:t>一、</w:t>
      </w:r>
      <w:r>
        <w:rPr>
          <w:rFonts w:ascii="Times New Roman" w:hAnsi="Times New Roman"/>
          <w:b/>
          <w:bCs/>
          <w:color w:val="auto"/>
          <w:sz w:val="24"/>
        </w:rPr>
        <w:t>项目名称：</w:t>
      </w:r>
      <w:r>
        <w:rPr>
          <w:rFonts w:hint="eastAsia" w:ascii="Times New Roman" w:hAnsi="Times New Roman"/>
          <w:color w:val="auto"/>
          <w:sz w:val="24"/>
          <w:lang w:eastAsia="zh-CN"/>
        </w:rPr>
        <w:t>高频电刀</w:t>
      </w:r>
      <w:r>
        <w:rPr>
          <w:rFonts w:ascii="Times New Roman" w:hAnsi="Times New Roman"/>
          <w:bCs/>
          <w:color w:val="auto"/>
          <w:sz w:val="24"/>
        </w:rPr>
        <w:t>采购项目</w:t>
      </w:r>
      <w:r>
        <w:rPr>
          <w:rFonts w:hint="eastAsia" w:ascii="Times New Roman" w:hAnsi="Times New Roman"/>
          <w:bCs/>
          <w:color w:val="auto"/>
          <w:sz w:val="24"/>
          <w:lang w:eastAsia="zh-CN"/>
        </w:rPr>
        <w:t>（</w:t>
      </w:r>
      <w:r>
        <w:rPr>
          <w:rFonts w:hint="eastAsia" w:ascii="Times New Roman" w:hAnsi="Times New Roman"/>
          <w:bCs/>
          <w:color w:val="auto"/>
          <w:sz w:val="24"/>
          <w:lang w:val="en-US" w:eastAsia="zh-CN"/>
        </w:rPr>
        <w:t>第二次</w:t>
      </w:r>
      <w:r>
        <w:rPr>
          <w:rFonts w:hint="eastAsia" w:ascii="Times New Roman" w:hAnsi="Times New Roman"/>
          <w:bCs/>
          <w:color w:val="auto"/>
          <w:sz w:val="24"/>
          <w:lang w:eastAsia="zh-CN"/>
        </w:rPr>
        <w:t>）</w:t>
      </w:r>
      <w:r>
        <w:rPr>
          <w:rFonts w:ascii="Times New Roman" w:hAnsi="Times New Roman"/>
          <w:bCs/>
          <w:color w:val="auto"/>
          <w:sz w:val="24"/>
        </w:rPr>
        <w:t>。</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eastAsia="zh-CN"/>
        </w:rPr>
        <w:t>二、</w:t>
      </w:r>
      <w:r>
        <w:rPr>
          <w:rFonts w:ascii="Times New Roman" w:hAnsi="Times New Roman"/>
          <w:b/>
          <w:bCs/>
          <w:color w:val="auto"/>
          <w:sz w:val="24"/>
        </w:rPr>
        <w:t>比选内容</w:t>
      </w:r>
    </w:p>
    <w:tbl>
      <w:tblPr>
        <w:tblStyle w:val="21"/>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080"/>
        <w:gridCol w:w="2631"/>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采购限价</w:t>
            </w:r>
            <w:r>
              <w:rPr>
                <w:rFonts w:hint="eastAsia" w:ascii="Times New Roman" w:hAnsi="Times New Roman"/>
                <w:b/>
                <w:color w:val="auto"/>
                <w:sz w:val="24"/>
              </w:rPr>
              <w:t>（万元）</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高频电刀</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2</w:t>
            </w:r>
            <w:r>
              <w:rPr>
                <w:rFonts w:hint="eastAsia" w:ascii="Times New Roman" w:hAnsi="Times New Roman"/>
                <w:color w:val="auto"/>
                <w:sz w:val="24"/>
              </w:rPr>
              <w:t>台</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20</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en-US"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14</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4</w:t>
      </w:r>
      <w:r>
        <w:rPr>
          <w:rFonts w:hint="eastAsia" w:ascii="Times New Roman" w:hAnsi="Times New Roman"/>
          <w:color w:val="auto"/>
          <w:sz w:val="24"/>
        </w:rPr>
        <w:t>月</w:t>
      </w:r>
      <w:r>
        <w:rPr>
          <w:rFonts w:hint="eastAsia" w:ascii="Times New Roman" w:hAnsi="Times New Roman"/>
          <w:color w:val="auto"/>
          <w:sz w:val="24"/>
          <w:lang w:val="en-US" w:eastAsia="zh-CN"/>
        </w:rPr>
        <w:t>18</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4</w:t>
      </w:r>
      <w:r>
        <w:rPr>
          <w:rFonts w:ascii="Times New Roman" w:hAnsi="Times New Roman"/>
          <w:color w:val="auto"/>
          <w:sz w:val="24"/>
        </w:rPr>
        <w:t>月</w:t>
      </w:r>
      <w:r>
        <w:rPr>
          <w:rFonts w:hint="eastAsia" w:ascii="Times New Roman" w:hAnsi="Times New Roman"/>
          <w:color w:val="auto"/>
          <w:sz w:val="24"/>
          <w:lang w:val="en-US" w:eastAsia="zh-CN"/>
        </w:rPr>
        <w:t>21</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21</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rPr>
        <w:t>3</w:t>
      </w:r>
      <w:r>
        <w:rPr>
          <w:rFonts w:ascii="Times New Roman" w:hAnsi="Times New Roman"/>
          <w:b w:val="0"/>
          <w:bCs/>
          <w:color w:val="auto"/>
          <w:kern w:val="0"/>
          <w:sz w:val="24"/>
        </w:rPr>
        <w:t>0分（北京时间）。</w:t>
      </w:r>
      <w:bookmarkStart w:id="52" w:name="_GoBack"/>
      <w:bookmarkEnd w:id="52"/>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十一、</w:t>
      </w:r>
      <w:r>
        <w:rPr>
          <w:rFonts w:ascii="Times New Roman" w:hAnsi="Times New Roman"/>
          <w:b/>
          <w:bCs/>
          <w:color w:val="auto"/>
          <w:sz w:val="24"/>
        </w:rPr>
        <w:t>联系方式</w:t>
      </w:r>
    </w:p>
    <w:p>
      <w:pPr>
        <w:tabs>
          <w:tab w:val="left" w:pos="2310"/>
        </w:tabs>
        <w:spacing w:line="360" w:lineRule="auto"/>
        <w:ind w:left="560" w:right="420" w:rightChars="200"/>
        <w:rPr>
          <w:rFonts w:ascii="Times New Roman" w:hAnsi="Times New Roman"/>
          <w:color w:val="auto"/>
          <w:sz w:val="24"/>
        </w:rPr>
      </w:pPr>
      <w:r>
        <w:rPr>
          <w:rFonts w:hint="eastAsia" w:ascii="Times New Roman" w:hAnsi="Times New Roman"/>
          <w:color w:val="auto"/>
          <w:sz w:val="24"/>
        </w:rPr>
        <w:t>采购</w:t>
      </w:r>
      <w:r>
        <w:rPr>
          <w:rFonts w:ascii="Times New Roman" w:hAnsi="Times New Roman"/>
          <w:color w:val="auto"/>
          <w:sz w:val="24"/>
        </w:rPr>
        <w:t>人：</w:t>
      </w:r>
      <w:r>
        <w:rPr>
          <w:rFonts w:hint="eastAsia" w:ascii="Times New Roman" w:hAnsi="Times New Roman"/>
          <w:color w:val="auto"/>
          <w:sz w:val="24"/>
        </w:rPr>
        <w:t>三台县人民医院</w:t>
      </w:r>
    </w:p>
    <w:p>
      <w:pPr>
        <w:pStyle w:val="43"/>
        <w:ind w:left="560" w:firstLine="0" w:firstLineChars="0"/>
        <w:contextualSpacing/>
        <w:rPr>
          <w:color w:val="auto"/>
          <w:sz w:val="24"/>
        </w:rPr>
      </w:pPr>
      <w:r>
        <w:rPr>
          <w:color w:val="auto"/>
          <w:sz w:val="24"/>
        </w:rPr>
        <w:t>地  址：</w:t>
      </w:r>
      <w:r>
        <w:rPr>
          <w:rFonts w:hint="eastAsia"/>
          <w:color w:val="auto"/>
          <w:sz w:val="24"/>
        </w:rPr>
        <w:t>三台县潼川镇解放下街139号</w:t>
      </w:r>
    </w:p>
    <w:p>
      <w:pPr>
        <w:pStyle w:val="43"/>
        <w:ind w:left="560" w:firstLine="0" w:firstLineChars="0"/>
        <w:contextualSpacing/>
        <w:rPr>
          <w:color w:val="auto"/>
          <w:sz w:val="24"/>
        </w:rPr>
      </w:pPr>
      <w:r>
        <w:rPr>
          <w:color w:val="auto"/>
          <w:sz w:val="24"/>
        </w:rPr>
        <w:t>联系人：</w:t>
      </w:r>
      <w:r>
        <w:rPr>
          <w:rFonts w:hint="eastAsia"/>
          <w:color w:val="auto"/>
          <w:sz w:val="24"/>
        </w:rPr>
        <w:t>张老师</w:t>
      </w:r>
    </w:p>
    <w:p>
      <w:pPr>
        <w:pStyle w:val="43"/>
        <w:ind w:left="560" w:firstLine="0" w:firstLineChars="0"/>
        <w:contextualSpacing/>
        <w:rPr>
          <w:color w:val="auto"/>
          <w:sz w:val="24"/>
        </w:rPr>
      </w:pPr>
      <w:r>
        <w:rPr>
          <w:color w:val="auto"/>
          <w:sz w:val="24"/>
        </w:rPr>
        <w:t>电  话：028-</w:t>
      </w:r>
      <w:r>
        <w:rPr>
          <w:rFonts w:hint="eastAsia"/>
          <w:color w:val="auto"/>
          <w:sz w:val="24"/>
        </w:rPr>
        <w:t>5222252</w:t>
      </w:r>
    </w:p>
    <w:p>
      <w:pPr>
        <w:pStyle w:val="43"/>
        <w:contextualSpacing/>
        <w:jc w:val="left"/>
        <w:rPr>
          <w:color w:val="auto"/>
          <w:sz w:val="24"/>
        </w:rPr>
      </w:pPr>
      <w:bookmarkStart w:id="1" w:name="_Toc52036323"/>
      <w:bookmarkStart w:id="2" w:name="_Toc520455380"/>
      <w:bookmarkStart w:id="3" w:name="_Toc418004672"/>
      <w:r>
        <w:rPr>
          <w:color w:val="auto"/>
          <w:sz w:val="36"/>
          <w:szCs w:val="36"/>
        </w:rPr>
        <w:t xml:space="preserve"> </w:t>
      </w:r>
      <w:bookmarkEnd w:id="1"/>
      <w:bookmarkEnd w:id="2"/>
    </w:p>
    <w:bookmarkEnd w:id="3"/>
    <w:p>
      <w:pPr>
        <w:rPr>
          <w:rFonts w:ascii="Times New Roman" w:hAnsi="Times New Roman"/>
          <w:b/>
          <w:color w:val="auto"/>
          <w:sz w:val="36"/>
          <w:szCs w:val="36"/>
        </w:rPr>
      </w:pPr>
      <w:bookmarkStart w:id="4" w:name="_Toc52036324"/>
      <w:r>
        <w:rPr>
          <w:rFonts w:ascii="Times New Roman" w:hAnsi="Times New Roman"/>
          <w:b/>
          <w:color w:val="auto"/>
          <w:sz w:val="36"/>
          <w:szCs w:val="36"/>
        </w:rPr>
        <w:br w:type="page"/>
      </w:r>
    </w:p>
    <w:p>
      <w:pPr>
        <w:widowControl/>
        <w:spacing w:line="360" w:lineRule="auto"/>
        <w:jc w:val="left"/>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4"/>
    </w:p>
    <w:p>
      <w:pPr>
        <w:spacing w:line="360" w:lineRule="auto"/>
        <w:rPr>
          <w:rFonts w:hint="eastAsia" w:asciiTheme="minorEastAsia" w:hAnsiTheme="minorEastAsia" w:eastAsiaTheme="minorEastAsia"/>
          <w:b/>
          <w:color w:val="auto"/>
          <w:kern w:val="0"/>
          <w:sz w:val="28"/>
          <w:szCs w:val="28"/>
          <w:lang w:eastAsia="zh-CN"/>
        </w:rPr>
      </w:pPr>
      <w:r>
        <w:rPr>
          <w:rFonts w:hint="eastAsia" w:asciiTheme="minorEastAsia" w:hAnsiTheme="minorEastAsia" w:eastAsiaTheme="minorEastAsia"/>
          <w:b/>
          <w:color w:val="auto"/>
          <w:kern w:val="0"/>
          <w:sz w:val="28"/>
          <w:szCs w:val="28"/>
          <w:lang w:eastAsia="zh-CN"/>
        </w:rPr>
        <w:t>一、技术参数及要求</w:t>
      </w:r>
    </w:p>
    <w:p>
      <w:pPr>
        <w:jc w:val="center"/>
        <w:rPr>
          <w:rFonts w:ascii="黑体" w:hAnsi="黑体" w:eastAsia="黑体"/>
          <w:b/>
          <w:bCs/>
          <w:color w:val="auto"/>
          <w:sz w:val="32"/>
        </w:rPr>
      </w:pPr>
      <w:bookmarkStart w:id="5" w:name="_Toc350964160"/>
      <w:bookmarkStart w:id="6" w:name="_Toc233048245"/>
      <w:r>
        <w:rPr>
          <w:rFonts w:hint="eastAsia" w:ascii="黑体" w:hAnsi="黑体" w:eastAsia="黑体"/>
          <w:b/>
          <w:bCs/>
          <w:color w:val="auto"/>
          <w:sz w:val="32"/>
        </w:rPr>
        <w:t>高频电刀技术参数</w:t>
      </w:r>
    </w:p>
    <w:p>
      <w:pPr>
        <w:keepNext w:val="0"/>
        <w:keepLines w:val="0"/>
        <w:pageBreakBefore w:val="0"/>
        <w:widowControl w:val="0"/>
        <w:tabs>
          <w:tab w:val="center" w:pos="4923"/>
        </w:tabs>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▲1、为降低对周围设备的干扰、对操作、患者的辐射，主机频率≤340KHZ，喷射电凝模式最高峰值电压≤4800V。</w:t>
      </w:r>
    </w:p>
    <w:p>
      <w:pPr>
        <w:keepNext w:val="0"/>
        <w:keepLines w:val="0"/>
        <w:pageBreakBefore w:val="0"/>
        <w:widowControl w:val="0"/>
        <w:tabs>
          <w:tab w:val="center" w:pos="4923"/>
        </w:tabs>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2、安全保护监测系统：漏电流监测、功率输出、附件、回路电极监控等。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▲3、脚踏开关上带单、双极功能切换按钮，单、双极功能可用脚踏开关直接切换。</w:t>
      </w:r>
    </w:p>
    <w:p>
      <w:pPr>
        <w:keepNext w:val="0"/>
        <w:keepLines w:val="0"/>
        <w:pageBreakBefore w:val="0"/>
        <w:widowControl w:val="0"/>
        <w:tabs>
          <w:tab w:val="center" w:pos="4923"/>
        </w:tabs>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▲4、可同时连接2路单极器械进行单极双路同步电凝。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▲5、个性化程序存储可达≥100个。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6、单极电切输出功率≦300W、单极电凝输出功率≦120W、双极电凝输出功率≦120W。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7、切割模式≥4种，每种模式下效果可≥9级调整。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8、电凝模式≥6种。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9、双极带自动启动功能，在该模式下可对自动启动延时50～2500ms设定。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10、待机功率：≦30W。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Times New Roman" w:cs="宋体"/>
          <w:color w:val="auto"/>
          <w:sz w:val="24"/>
          <w:szCs w:val="24"/>
          <w:lang w:val="zh-CN"/>
        </w:rPr>
      </w:pPr>
      <w:r>
        <w:rPr>
          <w:rFonts w:hint="eastAsia" w:cs="Times New Roman" w:asciiTheme="minorEastAsia" w:hAnsiTheme="minorEastAsia" w:eastAsiaTheme="minorEastAsia"/>
          <w:color w:val="auto"/>
          <w:kern w:val="13"/>
          <w:sz w:val="24"/>
          <w:szCs w:val="24"/>
          <w:lang w:val="en-US" w:eastAsia="zh-CN" w:bidi="ar-SA"/>
        </w:rPr>
        <w:t>11、电源：电压220V～240V，频率50/60HZ。</w:t>
      </w: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asciiTheme="minorEastAsia" w:hAnsiTheme="minorEastAsia" w:eastAsiaTheme="minorEastAsia"/>
          <w:b/>
          <w:color w:val="auto"/>
          <w:kern w:val="0"/>
          <w:sz w:val="24"/>
        </w:rPr>
      </w:pPr>
      <w:r>
        <w:rPr>
          <w:rFonts w:asciiTheme="minorEastAsia" w:hAnsiTheme="minorEastAsia" w:eastAsiaTheme="minorEastAsia"/>
          <w:b/>
          <w:color w:val="auto"/>
          <w:kern w:val="0"/>
          <w:sz w:val="24"/>
        </w:rPr>
        <w:t>二、商务要求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1、</w:t>
      </w:r>
      <w:r>
        <w:rPr>
          <w:rFonts w:asciiTheme="minorEastAsia" w:hAnsiTheme="minorEastAsia" w:eastAsiaTheme="minorEastAsia"/>
          <w:b/>
          <w:color w:val="auto"/>
          <w:kern w:val="13"/>
          <w:sz w:val="24"/>
        </w:rPr>
        <w:t>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1.1  合同签约地点：</w:t>
      </w:r>
      <w:r>
        <w:rPr>
          <w:rFonts w:hint="eastAsia" w:asciiTheme="minorEastAsia" w:hAnsiTheme="minorEastAsia" w:eastAsiaTheme="minorEastAsia"/>
          <w:color w:val="auto"/>
          <w:kern w:val="13"/>
          <w:sz w:val="24"/>
        </w:rPr>
        <w:t>三台县人民医院</w:t>
      </w:r>
      <w:r>
        <w:rPr>
          <w:rFonts w:asciiTheme="minorEastAsia" w:hAnsiTheme="minorEastAsia" w:eastAsiaTheme="minorEastAsia"/>
          <w:color w:val="auto"/>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1.3  交货期：签订合同后</w:t>
      </w:r>
      <w:r>
        <w:rPr>
          <w:rFonts w:hint="eastAsia" w:asciiTheme="minorEastAsia" w:hAnsiTheme="minorEastAsia" w:eastAsiaTheme="minorEastAsia"/>
          <w:color w:val="auto"/>
          <w:kern w:val="13"/>
          <w:sz w:val="24"/>
          <w:lang w:val="en-US" w:eastAsia="zh-CN"/>
        </w:rPr>
        <w:t>30</w:t>
      </w:r>
      <w:r>
        <w:rPr>
          <w:rFonts w:hint="eastAsia" w:asciiTheme="minorEastAsia" w:hAnsiTheme="minorEastAsia" w:eastAsiaTheme="minorEastAsia"/>
          <w:color w:val="auto"/>
          <w:kern w:val="13"/>
          <w:sz w:val="24"/>
        </w:rPr>
        <w:t>日</w:t>
      </w:r>
      <w:r>
        <w:rPr>
          <w:rFonts w:asciiTheme="minorEastAsia" w:hAnsiTheme="minorEastAsia" w:eastAsiaTheme="minorEastAsia"/>
          <w:color w:val="auto"/>
          <w:kern w:val="13"/>
          <w:sz w:val="24"/>
        </w:rPr>
        <w:t>内。</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2、</w:t>
      </w:r>
      <w:r>
        <w:rPr>
          <w:rFonts w:asciiTheme="minorEastAsia" w:hAnsiTheme="minorEastAsia" w:eastAsiaTheme="minorEastAsia"/>
          <w:b/>
          <w:color w:val="auto"/>
          <w:kern w:val="13"/>
          <w:sz w:val="24"/>
        </w:rPr>
        <w:t>质保期</w:t>
      </w:r>
      <w:r>
        <w:rPr>
          <w:rFonts w:hint="eastAsia" w:asciiTheme="minorEastAsia" w:hAnsiTheme="minorEastAsia" w:eastAsiaTheme="minorEastAsia"/>
          <w:b/>
          <w:color w:val="auto"/>
          <w:kern w:val="13"/>
          <w:sz w:val="24"/>
        </w:rPr>
        <w:t>及售后服务要求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hint="eastAsia" w:asciiTheme="minorEastAsia" w:hAnsiTheme="minorEastAsia" w:eastAsiaTheme="minorEastAsia"/>
          <w:color w:val="auto"/>
          <w:kern w:val="13"/>
          <w:sz w:val="24"/>
        </w:rPr>
        <w:t>2.1</w:t>
      </w:r>
      <w:r>
        <w:rPr>
          <w:rFonts w:hint="eastAsia" w:asciiTheme="minorEastAsia" w:hAnsiTheme="minorEastAsia" w:eastAsiaTheme="minorEastAsia"/>
          <w:color w:val="auto"/>
          <w:kern w:val="13"/>
          <w:sz w:val="24"/>
          <w:lang w:eastAsia="zh-CN"/>
        </w:rPr>
        <w:t>质保期：</w:t>
      </w:r>
      <w:r>
        <w:rPr>
          <w:rFonts w:asciiTheme="minorEastAsia" w:hAnsiTheme="minorEastAsia" w:eastAsiaTheme="minorEastAsia"/>
          <w:color w:val="auto"/>
          <w:kern w:val="13"/>
          <w:sz w:val="24"/>
        </w:rPr>
        <w:t>验收合格后</w:t>
      </w:r>
      <w:r>
        <w:rPr>
          <w:rFonts w:hint="eastAsia" w:asciiTheme="minorEastAsia" w:hAnsiTheme="minorEastAsia" w:eastAsiaTheme="minorEastAsia"/>
          <w:color w:val="auto"/>
          <w:kern w:val="13"/>
          <w:sz w:val="24"/>
          <w:lang w:eastAsia="zh-CN"/>
        </w:rPr>
        <w:t>至少</w:t>
      </w:r>
      <w:r>
        <w:rPr>
          <w:rFonts w:hint="eastAsia" w:asciiTheme="minorEastAsia" w:hAnsiTheme="minorEastAsia" w:eastAsiaTheme="minorEastAsia"/>
          <w:color w:val="auto"/>
          <w:kern w:val="13"/>
          <w:sz w:val="24"/>
          <w:lang w:val="en-US" w:eastAsia="zh-CN"/>
        </w:rPr>
        <w:t>1</w:t>
      </w:r>
      <w:r>
        <w:rPr>
          <w:rFonts w:asciiTheme="minorEastAsia" w:hAnsiTheme="minorEastAsia" w:eastAsiaTheme="minorEastAsia"/>
          <w:color w:val="auto"/>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sz w:val="24"/>
        </w:rPr>
      </w:pPr>
      <w:r>
        <w:rPr>
          <w:rFonts w:hint="eastAsia" w:asciiTheme="minorEastAsia" w:hAnsiTheme="minorEastAsia" w:eastAsiaTheme="minorEastAsia"/>
          <w:color w:val="auto"/>
          <w:kern w:val="13"/>
          <w:sz w:val="24"/>
        </w:rPr>
        <w:t>2.2</w:t>
      </w:r>
      <w:r>
        <w:rPr>
          <w:rFonts w:asciiTheme="minorEastAsia" w:hAnsiTheme="minorEastAsia" w:eastAsiaTheme="minorEastAsia"/>
          <w:color w:val="auto"/>
          <w:kern w:val="13"/>
          <w:sz w:val="24"/>
        </w:rPr>
        <w:t>在质保期内</w:t>
      </w:r>
      <w:r>
        <w:rPr>
          <w:rFonts w:hint="eastAsia" w:asciiTheme="minorEastAsia" w:hAnsiTheme="minorEastAsia" w:eastAsiaTheme="minorEastAsia"/>
          <w:color w:val="auto"/>
          <w:kern w:val="13"/>
          <w:sz w:val="24"/>
        </w:rPr>
        <w:t>，</w:t>
      </w:r>
      <w:r>
        <w:rPr>
          <w:rFonts w:asciiTheme="minorEastAsia" w:hAnsiTheme="minorEastAsia" w:eastAsiaTheme="minorEastAsia"/>
          <w:color w:val="auto"/>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hint="eastAsia" w:asciiTheme="minorEastAsia" w:hAnsiTheme="minorEastAsia" w:eastAsiaTheme="minorEastAsia"/>
          <w:color w:val="auto"/>
          <w:kern w:val="13"/>
          <w:sz w:val="24"/>
          <w:lang w:eastAsia="zh-CN"/>
        </w:rPr>
      </w:pPr>
      <w:r>
        <w:rPr>
          <w:rFonts w:hint="eastAsia" w:asciiTheme="minorEastAsia" w:hAnsiTheme="minorEastAsia" w:eastAsiaTheme="minorEastAsia"/>
          <w:color w:val="auto"/>
          <w:sz w:val="24"/>
        </w:rPr>
        <w:t>2.3</w:t>
      </w:r>
      <w:r>
        <w:rPr>
          <w:rFonts w:asciiTheme="minorEastAsia" w:hAnsiTheme="minorEastAsia" w:eastAsiaTheme="minorEastAsia"/>
          <w:color w:val="auto"/>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color w:val="auto"/>
          <w:sz w:val="24"/>
          <w:lang w:eastAsia="zh-CN"/>
        </w:rPr>
        <w:t>。</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3、</w:t>
      </w:r>
      <w:r>
        <w:rPr>
          <w:rFonts w:asciiTheme="minorEastAsia" w:hAnsiTheme="minorEastAsia" w:eastAsiaTheme="minorEastAsia"/>
          <w:b/>
          <w:color w:val="auto"/>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 xml:space="preserve">3.1  </w:t>
      </w:r>
      <w:r>
        <w:rPr>
          <w:rFonts w:asciiTheme="minorEastAsia" w:hAnsiTheme="minorEastAsia" w:eastAsiaTheme="minorEastAsia"/>
          <w:color w:val="auto"/>
          <w:sz w:val="24"/>
        </w:rPr>
        <w:t>货到安装验收合格1个月内付合同总价的70% ，正常使用半年后1个月内付合同总价的20%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3.2  付款方式：转账、电汇等非现金方式。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hint="eastAsia" w:asciiTheme="minorEastAsia" w:hAnsiTheme="minorEastAsia" w:eastAsiaTheme="minorEastAsia"/>
          <w:b/>
          <w:color w:val="auto"/>
          <w:kern w:val="13"/>
          <w:sz w:val="24"/>
          <w:lang w:val="en-US" w:eastAsia="zh-CN"/>
        </w:rPr>
        <w:t>4、</w:t>
      </w:r>
      <w:r>
        <w:rPr>
          <w:rFonts w:asciiTheme="minorEastAsia" w:hAnsiTheme="minorEastAsia" w:eastAsiaTheme="minorEastAsia"/>
          <w:b/>
          <w:color w:val="auto"/>
          <w:kern w:val="13"/>
          <w:sz w:val="24"/>
        </w:rPr>
        <w:t>培训：</w:t>
      </w:r>
      <w:r>
        <w:rPr>
          <w:rFonts w:asciiTheme="minorEastAsia" w:hAnsiTheme="minorEastAsia" w:eastAsiaTheme="minorEastAsia"/>
          <w:color w:val="auto"/>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kern w:val="13"/>
          <w:sz w:val="24"/>
          <w:lang w:val="en-US" w:eastAsia="zh-CN"/>
        </w:rPr>
        <w:t>5、</w:t>
      </w:r>
      <w:r>
        <w:rPr>
          <w:rFonts w:asciiTheme="minorEastAsia" w:hAnsiTheme="minorEastAsia" w:eastAsiaTheme="minorEastAsia"/>
          <w:b/>
          <w:color w:val="auto"/>
          <w:kern w:val="13"/>
          <w:sz w:val="24"/>
        </w:rPr>
        <w:t>验收：</w:t>
      </w:r>
      <w:r>
        <w:rPr>
          <w:rFonts w:asciiTheme="minorEastAsia" w:hAnsiTheme="minorEastAsia" w:eastAsiaTheme="minorEastAsia"/>
          <w:color w:val="auto"/>
          <w:kern w:val="13"/>
          <w:sz w:val="24"/>
        </w:rPr>
        <w:t>按照比选文件服务要求、响应文件响应情况和国家、行业标准进行</w:t>
      </w:r>
      <w:r>
        <w:rPr>
          <w:rFonts w:asciiTheme="minorEastAsia" w:hAnsiTheme="minorEastAsia" w:eastAsiaTheme="minorEastAsia"/>
          <w:color w:val="auto"/>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eastAsia="宋体" w:cs="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2"/>
        <w:jc w:val="both"/>
        <w:rPr>
          <w:rFonts w:ascii="Times New Roman" w:hAnsi="Times New Roman"/>
          <w:color w:val="auto"/>
          <w:sz w:val="36"/>
          <w:szCs w:val="36"/>
        </w:rPr>
      </w:pPr>
      <w:bookmarkStart w:id="7" w:name="_Toc52036325"/>
      <w:bookmarkStart w:id="8" w:name="_Toc520455383"/>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7"/>
      <w:bookmarkEnd w:id="8"/>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2、提供具有良好的商业信誉承诺书及2019年度</w:t>
      </w:r>
      <w:r>
        <w:rPr>
          <w:rFonts w:hint="eastAsia" w:ascii="Times New Roman" w:hAnsi="Times New Roman"/>
          <w:color w:val="auto"/>
          <w:kern w:val="0"/>
          <w:sz w:val="24"/>
          <w:lang w:val="zh-CN"/>
        </w:rPr>
        <w:t>或2020年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9" w:name="_Toc33709793"/>
      <w:bookmarkStart w:id="10" w:name="_Toc34051805"/>
      <w:bookmarkStart w:id="11" w:name="_Toc40447267"/>
      <w:bookmarkStart w:id="12" w:name="_Toc52036326"/>
      <w:bookmarkStart w:id="13" w:name="_Toc33698132"/>
      <w:r>
        <w:rPr>
          <w:rFonts w:ascii="Times New Roman" w:hAnsi="Times New Roman" w:eastAsia="黑体"/>
          <w:b/>
          <w:color w:val="auto"/>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4" w:name="_Toc33709794"/>
      <w:bookmarkStart w:id="15" w:name="_Toc34051806"/>
      <w:bookmarkStart w:id="16" w:name="_Toc40447268"/>
      <w:bookmarkStart w:id="17" w:name="_Toc52036327"/>
      <w:bookmarkStart w:id="18" w:name="_Toc33698133"/>
      <w:r>
        <w:rPr>
          <w:rFonts w:ascii="Times New Roman" w:hAnsi="Times New Roman" w:eastAsia="黑体"/>
          <w:b/>
          <w:color w:val="auto"/>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9" w:name="_Toc52036328"/>
      <w:bookmarkStart w:id="20" w:name="_Toc33709795"/>
      <w:bookmarkStart w:id="21" w:name="_Toc33698134"/>
      <w:bookmarkStart w:id="22" w:name="_Toc40447269"/>
      <w:bookmarkStart w:id="23" w:name="_Toc34051807"/>
      <w:r>
        <w:rPr>
          <w:rFonts w:ascii="Times New Roman" w:hAnsi="Times New Roman" w:eastAsia="黑体"/>
          <w:b/>
          <w:color w:val="auto"/>
          <w:kern w:val="0"/>
          <w:sz w:val="32"/>
          <w:szCs w:val="32"/>
        </w:rPr>
        <w:t>三、承诺函</w:t>
      </w:r>
      <w:bookmarkEnd w:id="19"/>
      <w:bookmarkEnd w:id="20"/>
      <w:bookmarkEnd w:id="21"/>
      <w:bookmarkEnd w:id="22"/>
      <w:bookmarkEnd w:id="23"/>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4" w:name="_Toc33709796"/>
      <w:bookmarkStart w:id="25" w:name="_Toc52036329"/>
      <w:bookmarkStart w:id="26" w:name="_Toc40447270"/>
      <w:bookmarkStart w:id="27" w:name="_Toc34051808"/>
      <w:bookmarkStart w:id="28" w:name="_Toc33698135"/>
      <w:r>
        <w:rPr>
          <w:rFonts w:ascii="Times New Roman" w:hAnsi="Times New Roman" w:eastAsia="黑体"/>
          <w:b/>
          <w:color w:val="auto"/>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color w:val="auto"/>
          <w:kern w:val="0"/>
          <w:sz w:val="24"/>
          <w:szCs w:val="20"/>
        </w:rPr>
        <w:br w:type="page"/>
      </w:r>
      <w:bookmarkEnd w:id="29"/>
      <w:bookmarkEnd w:id="30"/>
      <w:bookmarkEnd w:id="31"/>
      <w:bookmarkEnd w:id="32"/>
      <w:bookmarkEnd w:id="33"/>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hAnsi="Times New Roman" w:eastAsia="黑体"/>
          <w:b/>
          <w:color w:val="auto"/>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hAnsi="Times New Roman" w:eastAsia="黑体"/>
          <w:b/>
          <w:color w:val="auto"/>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50"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50"/>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5"/>
      <w:bookmarkEnd w:id="6"/>
      <w:bookmarkStart w:id="51"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51"/>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3950B2C"/>
    <w:rsid w:val="0AFA5A96"/>
    <w:rsid w:val="0DAC4D70"/>
    <w:rsid w:val="0E677033"/>
    <w:rsid w:val="0E7F1957"/>
    <w:rsid w:val="156D2A8C"/>
    <w:rsid w:val="17006A33"/>
    <w:rsid w:val="17122347"/>
    <w:rsid w:val="1B4D05AA"/>
    <w:rsid w:val="1F2324A2"/>
    <w:rsid w:val="20A2053B"/>
    <w:rsid w:val="20D54F08"/>
    <w:rsid w:val="23894181"/>
    <w:rsid w:val="23B377CD"/>
    <w:rsid w:val="247F6619"/>
    <w:rsid w:val="257E01C7"/>
    <w:rsid w:val="29A7364C"/>
    <w:rsid w:val="2A092A55"/>
    <w:rsid w:val="2BE165BF"/>
    <w:rsid w:val="2FB70420"/>
    <w:rsid w:val="33D16649"/>
    <w:rsid w:val="35DF103A"/>
    <w:rsid w:val="3BF758E5"/>
    <w:rsid w:val="4C2C6594"/>
    <w:rsid w:val="508E3344"/>
    <w:rsid w:val="50D15CF8"/>
    <w:rsid w:val="51066F16"/>
    <w:rsid w:val="518B2019"/>
    <w:rsid w:val="55F7458E"/>
    <w:rsid w:val="58BA1F78"/>
    <w:rsid w:val="5AAD383C"/>
    <w:rsid w:val="5D3338A8"/>
    <w:rsid w:val="5DEF0CB7"/>
    <w:rsid w:val="611E7ED2"/>
    <w:rsid w:val="62B4300E"/>
    <w:rsid w:val="62D11BF0"/>
    <w:rsid w:val="63A453C5"/>
    <w:rsid w:val="659F01D8"/>
    <w:rsid w:val="68B977C1"/>
    <w:rsid w:val="69E4351C"/>
    <w:rsid w:val="6A0135C5"/>
    <w:rsid w:val="6A4F2F1A"/>
    <w:rsid w:val="6B8A20A2"/>
    <w:rsid w:val="6BB50D37"/>
    <w:rsid w:val="6C320399"/>
    <w:rsid w:val="6F514ADE"/>
    <w:rsid w:val="6F833AC6"/>
    <w:rsid w:val="72B059E8"/>
    <w:rsid w:val="732C647B"/>
    <w:rsid w:val="78F61C8E"/>
    <w:rsid w:val="7AB7598A"/>
    <w:rsid w:val="7C3F13C0"/>
    <w:rsid w:val="7D8D4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DDA7F-0647-4543-B92C-DE0A19B5D4F3}">
  <ds:schemaRefs/>
</ds:datastoreItem>
</file>

<file path=customXml/itemProps3.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7748</Words>
  <Characters>8011</Characters>
  <Lines>102</Lines>
  <Paragraphs>28</Paragraphs>
  <TotalTime>19</TotalTime>
  <ScaleCrop>false</ScaleCrop>
  <LinksUpToDate>false</LinksUpToDate>
  <CharactersWithSpaces>9568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2022-04-14T01:08:30Z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BD4D87F3D29F4F2EA6B20F283D178D2E</vt:lpwstr>
  </property>
</Properties>
</file>