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三台县人民医院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sz w:val="32"/>
          <w:szCs w:val="32"/>
        </w:rPr>
      </w:pPr>
      <w:r>
        <w:rPr>
          <w:rFonts w:hint="eastAsia" w:ascii="方正小标宋简体" w:hAnsi="方正小标宋简体" w:eastAsia="方正小标宋简体" w:cs="方正小标宋简体"/>
          <w:b w:val="0"/>
          <w:bCs w:val="0"/>
          <w:sz w:val="44"/>
          <w:szCs w:val="44"/>
          <w:lang w:val="en-US" w:eastAsia="zh-CN"/>
        </w:rPr>
        <w:t>关于医院污水第三方检测服务的采购</w:t>
      </w:r>
      <w:r>
        <w:rPr>
          <w:rFonts w:hint="eastAsia" w:ascii="方正小标宋简体" w:hAnsi="方正小标宋简体" w:eastAsia="方正小标宋简体" w:cs="方正小标宋简体"/>
          <w:b w:val="0"/>
          <w:bCs w:val="0"/>
          <w:sz w:val="44"/>
          <w:szCs w:val="44"/>
        </w:rPr>
        <w:t>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根据医院工作需要，拟对</w:t>
      </w:r>
      <w:r>
        <w:rPr>
          <w:rFonts w:hint="eastAsia" w:ascii="宋体" w:hAnsi="宋体" w:eastAsia="宋体" w:cs="宋体"/>
          <w:sz w:val="24"/>
          <w:szCs w:val="24"/>
          <w:lang w:eastAsia="zh-CN"/>
        </w:rPr>
        <w:t>医院污水第三方检测服务采购项目进行比选</w:t>
      </w:r>
      <w:r>
        <w:rPr>
          <w:rFonts w:hint="eastAsia" w:ascii="宋体" w:hAnsi="宋体" w:eastAsia="宋体" w:cs="宋体"/>
          <w:sz w:val="24"/>
          <w:szCs w:val="24"/>
        </w:rPr>
        <w:t xml:space="preserve">。欢迎符合相应要求的供应商参加，具体事项如下：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rPr>
      </w:pPr>
      <w:r>
        <w:rPr>
          <w:rFonts w:hint="eastAsia" w:ascii="宋体" w:hAnsi="宋体" w:eastAsia="宋体" w:cs="宋体"/>
          <w:b/>
          <w:bCs/>
          <w:sz w:val="24"/>
          <w:szCs w:val="24"/>
        </w:rPr>
        <w:t>一、项目</w:t>
      </w:r>
      <w:r>
        <w:rPr>
          <w:rFonts w:hint="eastAsia" w:ascii="宋体" w:hAnsi="宋体" w:eastAsia="宋体" w:cs="宋体"/>
          <w:b/>
          <w:bCs/>
          <w:sz w:val="24"/>
          <w:szCs w:val="24"/>
          <w:lang w:eastAsia="zh-CN"/>
        </w:rPr>
        <w:t>名称</w:t>
      </w:r>
      <w:r>
        <w:rPr>
          <w:rFonts w:hint="eastAsia" w:ascii="宋体" w:hAnsi="宋体" w:eastAsia="宋体" w:cs="宋体"/>
          <w:b/>
          <w:bCs/>
          <w:sz w:val="24"/>
          <w:szCs w:val="24"/>
        </w:rPr>
        <w:t>：</w:t>
      </w:r>
      <w:r>
        <w:rPr>
          <w:rFonts w:hint="eastAsia" w:ascii="Times New Roman" w:hAnsi="Times New Roman"/>
          <w:sz w:val="24"/>
          <w:szCs w:val="24"/>
          <w:lang w:eastAsia="zh-CN"/>
        </w:rPr>
        <w:t>医院污水第三方检测服务采购项目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、采购方式：</w:t>
      </w:r>
      <w:r>
        <w:rPr>
          <w:rFonts w:hint="eastAsia" w:ascii="宋体" w:hAnsi="宋体" w:eastAsia="宋体" w:cs="宋体"/>
          <w:b w:val="0"/>
          <w:bCs w:val="0"/>
          <w:sz w:val="24"/>
          <w:szCs w:val="24"/>
          <w:lang w:eastAsia="zh-CN"/>
        </w:rPr>
        <w:t>比选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、供应商资格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在中国境内注册并具有独立法人资格的合法企业；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具有良好的商业信誉和健全的财务会计制度；</w:t>
      </w:r>
      <w:bookmarkStart w:id="50" w:name="_GoBack"/>
      <w:bookmarkEnd w:id="5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本项目不接受联合体投标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四、</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请潜在比选人致电三台县人民医院采购办报名，报名电话：0816-5222252，联系人：云老师、邹老师；报名时间：202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日至202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日08:00～12:00、14:</w:t>
      </w:r>
      <w:r>
        <w:rPr>
          <w:rFonts w:hint="eastAsia" w:ascii="宋体" w:hAnsi="宋体" w:eastAsia="宋体" w:cs="宋体"/>
          <w:sz w:val="24"/>
          <w:szCs w:val="24"/>
          <w:lang w:val="en-US" w:eastAsia="zh-CN"/>
        </w:rPr>
        <w:t>3</w:t>
      </w:r>
      <w:r>
        <w:rPr>
          <w:rFonts w:hint="eastAsia" w:ascii="宋体" w:hAnsi="宋体" w:eastAsia="宋体" w:cs="宋体"/>
          <w:sz w:val="24"/>
          <w:szCs w:val="24"/>
        </w:rPr>
        <w:t>0～1</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日1</w:t>
      </w:r>
      <w:r>
        <w:rPr>
          <w:rFonts w:hint="eastAsia" w:ascii="宋体" w:hAnsi="宋体" w:eastAsia="宋体" w:cs="宋体"/>
          <w:sz w:val="24"/>
          <w:szCs w:val="24"/>
          <w:lang w:val="en-US" w:eastAsia="zh-CN"/>
        </w:rPr>
        <w:t>2</w:t>
      </w:r>
      <w:r>
        <w:rPr>
          <w:rFonts w:hint="eastAsia" w:ascii="宋体" w:hAnsi="宋体" w:eastAsia="宋体" w:cs="宋体"/>
          <w:sz w:val="24"/>
          <w:szCs w:val="24"/>
        </w:rPr>
        <w:t>时</w:t>
      </w:r>
      <w:r>
        <w:rPr>
          <w:rFonts w:hint="eastAsia" w:ascii="宋体" w:hAnsi="宋体" w:eastAsia="宋体" w:cs="宋体"/>
          <w:sz w:val="24"/>
          <w:szCs w:val="24"/>
          <w:lang w:val="en-US" w:eastAsia="zh-CN"/>
        </w:rPr>
        <w:t>0</w:t>
      </w:r>
      <w:r>
        <w:rPr>
          <w:rFonts w:hint="eastAsia" w:ascii="宋体" w:hAnsi="宋体" w:eastAsia="宋体" w:cs="宋体"/>
          <w:sz w:val="24"/>
          <w:szCs w:val="24"/>
        </w:rPr>
        <w:t>0分（北京时间）。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必须在截止时间前邮寄（顺丰快递）至三台县人民医院采购办（邹老师收，收件电话：0816-5222252）。逾期送达或密封和标注不符合比选邀请文件规定的响应文件恕不接受。本次比选只接受邮寄的响应文件，邮件封面注明包号和设备名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、比选时间：</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w:t>
      </w:r>
      <w:r>
        <w:rPr>
          <w:rFonts w:hint="eastAsia" w:ascii="宋体" w:hAnsi="宋体" w:eastAsia="宋体" w:cs="宋体"/>
          <w:sz w:val="24"/>
          <w:szCs w:val="24"/>
        </w:rPr>
        <w:t>0分（北京时间）。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、比选地点：</w:t>
      </w:r>
      <w:r>
        <w:rPr>
          <w:rFonts w:hint="eastAsia" w:ascii="宋体" w:hAnsi="宋体" w:eastAsia="宋体" w:cs="宋体"/>
          <w:sz w:val="24"/>
          <w:szCs w:val="24"/>
        </w:rPr>
        <w:t>三台县人民医院行政楼五楼会议室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、比选</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将在三台县人民医院官网以公告形式发布。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、比选文件详见附件</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三台县人民医院采购办</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17日</w:t>
      </w:r>
    </w:p>
    <w:p>
      <w:pPr>
        <w:jc w:val="right"/>
        <w:rPr>
          <w:rFonts w:hint="eastAsia" w:ascii="宋体" w:hAnsi="宋体" w:eastAsia="宋体" w:cs="宋体"/>
          <w:sz w:val="28"/>
          <w:szCs w:val="28"/>
          <w:lang w:val="en-US" w:eastAsia="zh-CN"/>
        </w:rPr>
      </w:pPr>
    </w:p>
    <w:p>
      <w:pPr>
        <w:rPr>
          <w:rFonts w:hint="eastAsia" w:ascii="Times New Roman" w:hAnsi="Times New Roman"/>
          <w:b/>
          <w:bCs/>
          <w:sz w:val="36"/>
          <w:szCs w:val="36"/>
        </w:rPr>
      </w:pPr>
      <w:r>
        <w:rPr>
          <w:rFonts w:hint="eastAsia" w:ascii="Times New Roman" w:hAnsi="Times New Roman"/>
          <w:b/>
          <w:bCs/>
          <w:sz w:val="36"/>
          <w:szCs w:val="36"/>
        </w:rPr>
        <w:br w:type="page"/>
      </w:r>
    </w:p>
    <w:p>
      <w:pPr>
        <w:keepNext w:val="0"/>
        <w:keepLines w:val="0"/>
        <w:pageBreakBefore w:val="0"/>
        <w:widowControl w:val="0"/>
        <w:kinsoku/>
        <w:wordWrap/>
        <w:overflowPunct/>
        <w:topLinePunct w:val="0"/>
        <w:autoSpaceDE/>
        <w:autoSpaceDN/>
        <w:bidi w:val="0"/>
        <w:adjustRightInd/>
        <w:snapToGrid/>
        <w:spacing w:before="0" w:after="0" w:line="400" w:lineRule="exact"/>
        <w:jc w:val="left"/>
        <w:textAlignment w:val="auto"/>
        <w:outlineLvl w:val="9"/>
        <w:rPr>
          <w:rFonts w:ascii="Times New Roman" w:hAnsi="Times New Roman"/>
          <w:b/>
          <w:bCs/>
          <w:sz w:val="36"/>
          <w:szCs w:val="36"/>
        </w:rPr>
      </w:pPr>
      <w:r>
        <w:rPr>
          <w:rFonts w:hint="eastAsia" w:ascii="Times New Roman" w:hAnsi="Times New Roman"/>
          <w:b/>
          <w:bCs/>
          <w:sz w:val="36"/>
          <w:szCs w:val="36"/>
        </w:rPr>
        <w:t>附件</w:t>
      </w:r>
    </w:p>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eastAsia" w:ascii="Times New Roman" w:hAnsi="Times New Roman"/>
          <w:b/>
          <w:bCs/>
          <w:sz w:val="36"/>
          <w:szCs w:val="36"/>
          <w:lang w:eastAsia="zh-CN"/>
        </w:rPr>
      </w:pPr>
      <w:r>
        <w:rPr>
          <w:rFonts w:hint="eastAsia" w:ascii="Times New Roman" w:hAnsi="Times New Roman"/>
          <w:b/>
          <w:bCs/>
          <w:sz w:val="36"/>
          <w:szCs w:val="36"/>
          <w:lang w:eastAsia="zh-CN"/>
        </w:rPr>
        <w:t>三台县人民医院</w:t>
      </w:r>
    </w:p>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hint="eastAsia" w:ascii="Times New Roman" w:hAnsi="Times New Roman"/>
          <w:b/>
          <w:bCs/>
          <w:sz w:val="36"/>
          <w:szCs w:val="36"/>
          <w:lang w:eastAsia="zh-CN"/>
        </w:rPr>
      </w:pPr>
      <w:r>
        <w:rPr>
          <w:rFonts w:hint="eastAsia" w:ascii="Times New Roman" w:hAnsi="Times New Roman"/>
          <w:b/>
          <w:bCs/>
          <w:sz w:val="36"/>
          <w:szCs w:val="36"/>
          <w:lang w:eastAsia="zh-CN"/>
        </w:rPr>
        <w:t>关于医院污水第三方检测服务的比选文件</w:t>
      </w:r>
    </w:p>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outlineLvl w:val="9"/>
        <w:rPr>
          <w:rFonts w:ascii="Times New Roman" w:hAnsi="Times New Roman"/>
          <w:b/>
          <w:bCs/>
          <w:sz w:val="36"/>
          <w:szCs w:val="36"/>
        </w:rPr>
      </w:pPr>
      <w:r>
        <w:rPr>
          <w:rFonts w:ascii="Times New Roman" w:hAnsi="Times New Roman"/>
          <w:b/>
          <w:bCs/>
          <w:sz w:val="36"/>
          <w:szCs w:val="36"/>
        </w:rPr>
        <w:t>第一章  比选邀请函</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szCs w:val="24"/>
          <w:lang w:eastAsia="zh-CN"/>
        </w:rPr>
        <w:t>对医院污水第三方检测服务采购项目进行比选</w:t>
      </w:r>
      <w:r>
        <w:rPr>
          <w:rFonts w:ascii="Times New Roman" w:hAnsi="Times New Roman"/>
          <w:sz w:val="24"/>
          <w:szCs w:val="24"/>
        </w:rPr>
        <w:t>，</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szCs w:val="24"/>
          <w:lang w:eastAsia="zh-CN"/>
        </w:rPr>
        <w:t>医院污水第三方检测服务采购项目</w:t>
      </w:r>
      <w:r>
        <w:rPr>
          <w:rFonts w:ascii="Times New Roman" w:hAnsi="Times New Roman"/>
          <w:bCs/>
          <w:sz w:val="24"/>
          <w:szCs w:val="24"/>
        </w:rPr>
        <w:t>。</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en-US" w:eastAsia="zh-CN"/>
        </w:rPr>
        <w:t>7、</w:t>
      </w:r>
      <w:r>
        <w:rPr>
          <w:rFonts w:hint="eastAsia" w:ascii="Times New Roman" w:hAnsi="Times New Roman"/>
          <w:color w:val="0D0D0D"/>
          <w:kern w:val="0"/>
          <w:sz w:val="24"/>
          <w:lang w:val="zh-CN"/>
        </w:rPr>
        <w:t>法律、行政法规规定的其他条件；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三、</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en-US" w:eastAsia="zh-CN"/>
        </w:rPr>
        <w:t>7</w:t>
      </w:r>
      <w:r>
        <w:rPr>
          <w:rFonts w:ascii="Times New Roman" w:hAnsi="Times New Roman"/>
          <w:color w:val="0D0D0D"/>
          <w:kern w:val="0"/>
          <w:sz w:val="24"/>
          <w:lang w:val="zh-CN"/>
        </w:rPr>
        <w:t>、法定代表人/单位负责人授权委托书（法定代表人/单位负责人或自然人直接参与投标的除外）。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Theme="minorEastAsia"/>
          <w:kern w:val="0"/>
          <w:sz w:val="24"/>
          <w:lang w:val="zh-CN" w:eastAsia="zh-CN"/>
        </w:rPr>
      </w:pPr>
      <w:r>
        <w:rPr>
          <w:rFonts w:hint="eastAsia" w:ascii="Times New Roman" w:hAnsi="Times New Roman"/>
          <w:b/>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5</w:t>
      </w:r>
      <w:r>
        <w:rPr>
          <w:rFonts w:ascii="Times New Roman" w:hAnsi="Times New Roman"/>
          <w:sz w:val="24"/>
        </w:rPr>
        <w:t>月</w:t>
      </w:r>
      <w:r>
        <w:rPr>
          <w:rFonts w:hint="eastAsia" w:ascii="Times New Roman" w:hAnsi="Times New Roman"/>
          <w:sz w:val="24"/>
          <w:lang w:val="en-US" w:eastAsia="zh-CN"/>
        </w:rPr>
        <w:t>18</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5</w:t>
      </w:r>
      <w:r>
        <w:rPr>
          <w:rFonts w:hint="eastAsia" w:ascii="Times New Roman" w:hAnsi="Times New Roman"/>
          <w:sz w:val="24"/>
        </w:rPr>
        <w:t>月</w:t>
      </w:r>
      <w:r>
        <w:rPr>
          <w:rFonts w:hint="eastAsia" w:ascii="Times New Roman" w:hAnsi="Times New Roman"/>
          <w:sz w:val="24"/>
          <w:lang w:val="en-US" w:eastAsia="zh-CN"/>
        </w:rPr>
        <w:t>20</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lang w:eastAsia="zh-CN"/>
        </w:rPr>
        <w:t>五</w:t>
      </w:r>
      <w:r>
        <w:rPr>
          <w:rFonts w:hint="eastAsia" w:ascii="Times New Roman" w:hAnsi="Times New Roman"/>
          <w:b/>
          <w:bCs w:val="0"/>
          <w:sz w:val="24"/>
        </w:rPr>
        <w:t>、</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5</w:t>
      </w:r>
      <w:r>
        <w:rPr>
          <w:rFonts w:ascii="Times New Roman" w:hAnsi="Times New Roman"/>
          <w:sz w:val="24"/>
        </w:rPr>
        <w:t>月</w:t>
      </w:r>
      <w:r>
        <w:rPr>
          <w:rFonts w:hint="eastAsia" w:ascii="Times New Roman" w:hAnsi="Times New Roman"/>
          <w:sz w:val="24"/>
          <w:lang w:val="en-US" w:eastAsia="zh-CN"/>
        </w:rPr>
        <w:t>25</w:t>
      </w:r>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lang w:eastAsia="zh-CN"/>
        </w:rPr>
        <w:t>六</w:t>
      </w:r>
      <w:r>
        <w:rPr>
          <w:rFonts w:hint="eastAsia" w:ascii="Times New Roman" w:hAnsi="Times New Roman"/>
          <w:b/>
          <w:bCs/>
          <w:sz w:val="24"/>
        </w:rPr>
        <w:t>、</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val="0"/>
          <w:bCs w:val="0"/>
          <w:kern w:val="0"/>
          <w:sz w:val="24"/>
          <w:lang w:eastAsia="zh-CN"/>
        </w:rPr>
        <w:t>（一正一副，密封、邮寄），</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val="0"/>
          <w:bCs/>
          <w:kern w:val="0"/>
          <w:sz w:val="24"/>
        </w:rPr>
      </w:pPr>
      <w:r>
        <w:rPr>
          <w:rFonts w:hint="eastAsia" w:ascii="Times New Roman" w:hAnsi="Times New Roman"/>
          <w:b/>
          <w:kern w:val="0"/>
          <w:sz w:val="24"/>
          <w:lang w:eastAsia="zh-CN"/>
        </w:rPr>
        <w:t>七</w:t>
      </w:r>
      <w:r>
        <w:rPr>
          <w:rFonts w:hint="eastAsia" w:ascii="Times New Roman" w:hAnsi="Times New Roman"/>
          <w:b/>
          <w:kern w:val="0"/>
          <w:sz w:val="24"/>
        </w:rPr>
        <w:t>、</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sz w:val="24"/>
          <w:lang w:val="en-US" w:eastAsia="zh-CN"/>
        </w:rPr>
        <w:t>5</w:t>
      </w:r>
      <w:r>
        <w:rPr>
          <w:rFonts w:ascii="Times New Roman" w:hAnsi="Times New Roman"/>
          <w:b w:val="0"/>
          <w:bCs/>
          <w:kern w:val="0"/>
          <w:sz w:val="24"/>
        </w:rPr>
        <w:t>月</w:t>
      </w:r>
      <w:r>
        <w:rPr>
          <w:rFonts w:hint="eastAsia" w:ascii="Times New Roman" w:hAnsi="Times New Roman"/>
          <w:b w:val="0"/>
          <w:bCs/>
          <w:kern w:val="0"/>
          <w:sz w:val="24"/>
          <w:lang w:val="en-US" w:eastAsia="zh-CN"/>
        </w:rPr>
        <w:t>25</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lang w:eastAsia="zh-CN"/>
        </w:rPr>
        <w:t>八</w:t>
      </w:r>
      <w:r>
        <w:rPr>
          <w:rFonts w:hint="eastAsia" w:ascii="Times New Roman" w:hAnsi="Times New Roman"/>
          <w:b/>
          <w:kern w:val="0"/>
          <w:sz w:val="24"/>
        </w:rPr>
        <w:t>、</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lang w:eastAsia="zh-CN"/>
        </w:rPr>
        <w:t>九</w:t>
      </w:r>
      <w:r>
        <w:rPr>
          <w:rFonts w:hint="eastAsia" w:ascii="Times New Roman" w:hAnsi="Times New Roman"/>
          <w:b/>
          <w:kern w:val="0"/>
          <w:sz w:val="24"/>
        </w:rPr>
        <w:t>、</w:t>
      </w:r>
      <w:r>
        <w:rPr>
          <w:rFonts w:ascii="Times New Roman" w:hAnsi="Times New Roman"/>
          <w:b/>
          <w:bCs/>
          <w:sz w:val="24"/>
        </w:rPr>
        <w:t>比选</w:t>
      </w:r>
      <w:r>
        <w:rPr>
          <w:rFonts w:hint="eastAsia" w:ascii="Times New Roman" w:hAnsi="Times New Roman"/>
          <w:b/>
          <w:bCs/>
          <w:sz w:val="24"/>
          <w:lang w:eastAsia="zh-CN"/>
        </w:rPr>
        <w:t>结果</w:t>
      </w:r>
      <w:r>
        <w:rPr>
          <w:rFonts w:ascii="Times New Roman" w:hAnsi="Times New Roman"/>
          <w:b/>
          <w:bCs/>
          <w:sz w:val="24"/>
        </w:rPr>
        <w:t>将在</w:t>
      </w:r>
      <w:r>
        <w:rPr>
          <w:rFonts w:hint="eastAsia" w:ascii="Times New Roman" w:hAnsi="Times New Roman"/>
          <w:b/>
          <w:bCs/>
          <w:sz w:val="24"/>
        </w:rPr>
        <w:t>三台县人民医院官网</w:t>
      </w:r>
      <w:r>
        <w:rPr>
          <w:rFonts w:ascii="Times New Roman" w:hAnsi="Times New Roman"/>
          <w:b/>
          <w:bCs/>
          <w:sz w:val="24"/>
        </w:rPr>
        <w:t>以公告形式发布。</w:t>
      </w:r>
    </w:p>
    <w:p>
      <w:pPr>
        <w:widowControl/>
        <w:spacing w:line="360" w:lineRule="auto"/>
        <w:jc w:val="left"/>
        <w:rPr>
          <w:rFonts w:ascii="Times New Roman" w:hAnsi="Times New Roman"/>
          <w:b/>
          <w:sz w:val="36"/>
          <w:szCs w:val="36"/>
        </w:rPr>
      </w:pPr>
      <w:bookmarkStart w:id="0" w:name="_Toc52036324"/>
    </w:p>
    <w:p>
      <w:pPr>
        <w:rPr>
          <w:rFonts w:ascii="Times New Roman" w:hAnsi="Times New Roman"/>
          <w:b/>
          <w:sz w:val="36"/>
          <w:szCs w:val="36"/>
        </w:rPr>
      </w:pPr>
      <w:r>
        <w:rPr>
          <w:rFonts w:ascii="Times New Roman" w:hAnsi="Times New Roman"/>
          <w:b/>
          <w:sz w:val="36"/>
          <w:szCs w:val="36"/>
        </w:rPr>
        <w:br w:type="page"/>
      </w:r>
    </w:p>
    <w:p>
      <w:pPr>
        <w:keepNext w:val="0"/>
        <w:keepLines w:val="0"/>
        <w:pageBreakBefore w:val="0"/>
        <w:widowControl/>
        <w:numPr>
          <w:ilvl w:val="0"/>
          <w:numId w:val="1"/>
        </w:numPr>
        <w:kinsoku/>
        <w:wordWrap/>
        <w:overflowPunct/>
        <w:topLinePunct w:val="0"/>
        <w:autoSpaceDE/>
        <w:autoSpaceDN/>
        <w:bidi w:val="0"/>
        <w:adjustRightInd/>
        <w:snapToGrid/>
        <w:spacing w:line="380" w:lineRule="exact"/>
        <w:jc w:val="center"/>
        <w:rPr>
          <w:rFonts w:asciiTheme="minorEastAsia" w:hAnsiTheme="minorEastAsia" w:eastAsiaTheme="minorEastAsia"/>
          <w:b/>
          <w:bCs/>
          <w:color w:val="2B2B2B"/>
          <w:sz w:val="36"/>
          <w:szCs w:val="36"/>
        </w:rPr>
      </w:pPr>
      <w:r>
        <w:rPr>
          <w:rFonts w:ascii="Times New Roman" w:hAnsi="Times New Roman"/>
          <w:b/>
          <w:sz w:val="36"/>
          <w:szCs w:val="36"/>
        </w:rPr>
        <w:t xml:space="preserve"> </w:t>
      </w:r>
      <w:r>
        <w:rPr>
          <w:rFonts w:hint="eastAsia" w:ascii="Times New Roman" w:hAnsi="Times New Roman"/>
          <w:b/>
          <w:sz w:val="36"/>
          <w:szCs w:val="36"/>
          <w:lang w:eastAsia="zh-CN"/>
        </w:rPr>
        <w:t>项目</w:t>
      </w:r>
      <w:r>
        <w:rPr>
          <w:rFonts w:hint="eastAsia"/>
          <w:b/>
          <w:kern w:val="44"/>
          <w:sz w:val="36"/>
          <w:szCs w:val="36"/>
        </w:rPr>
        <w:t>内容</w:t>
      </w:r>
      <w:r>
        <w:rPr>
          <w:b/>
          <w:kern w:val="44"/>
          <w:sz w:val="36"/>
          <w:szCs w:val="36"/>
        </w:rPr>
        <w:t>及</w:t>
      </w:r>
      <w:r>
        <w:rPr>
          <w:rFonts w:hint="eastAsia"/>
          <w:b/>
          <w:kern w:val="44"/>
          <w:sz w:val="36"/>
          <w:szCs w:val="36"/>
        </w:rPr>
        <w:t>技术</w:t>
      </w:r>
      <w:r>
        <w:rPr>
          <w:rFonts w:hint="eastAsia" w:ascii="Times New Roman" w:hAnsi="Times New Roman"/>
          <w:b/>
          <w:sz w:val="36"/>
          <w:szCs w:val="36"/>
          <w:lang w:eastAsia="zh-CN"/>
        </w:rPr>
        <w:t>要求、</w:t>
      </w:r>
      <w:r>
        <w:rPr>
          <w:rFonts w:ascii="Times New Roman" w:hAnsi="Times New Roman"/>
          <w:b/>
          <w:sz w:val="36"/>
          <w:szCs w:val="36"/>
        </w:rPr>
        <w:t>商务要求</w:t>
      </w:r>
      <w:bookmarkEnd w:id="0"/>
      <w:bookmarkStart w:id="1" w:name="_Toc520455383"/>
      <w:bookmarkStart w:id="2" w:name="_Toc52036325"/>
      <w:bookmarkStart w:id="3" w:name="_Toc233048245"/>
      <w:bookmarkStart w:id="4" w:name="_Toc350964160"/>
    </w:p>
    <w:p>
      <w:pPr>
        <w:keepNext w:val="0"/>
        <w:keepLines w:val="0"/>
        <w:pageBreakBefore w:val="0"/>
        <w:widowControl/>
        <w:numPr>
          <w:ilvl w:val="0"/>
          <w:numId w:val="0"/>
        </w:numPr>
        <w:kinsoku/>
        <w:wordWrap/>
        <w:overflowPunct/>
        <w:topLinePunct w:val="0"/>
        <w:autoSpaceDE/>
        <w:autoSpaceDN/>
        <w:bidi w:val="0"/>
        <w:adjustRightInd/>
        <w:snapToGrid/>
        <w:spacing w:line="380" w:lineRule="exact"/>
        <w:jc w:val="both"/>
        <w:rPr>
          <w:rFonts w:asciiTheme="minorEastAsia" w:hAnsiTheme="minorEastAsia" w:eastAsiaTheme="minorEastAsia"/>
          <w:b/>
          <w:bCs/>
          <w:color w:val="2B2B2B"/>
          <w:sz w:val="28"/>
          <w:szCs w:val="28"/>
        </w:rPr>
      </w:pPr>
      <w:r>
        <w:rPr>
          <w:rFonts w:hint="eastAsia" w:ascii="Times New Roman" w:hAnsi="Times New Roman"/>
          <w:b/>
          <w:sz w:val="36"/>
          <w:szCs w:val="36"/>
          <w:lang w:val="en-US" w:eastAsia="zh-CN"/>
        </w:rPr>
        <w:t>一、</w:t>
      </w:r>
      <w:r>
        <w:rPr>
          <w:rFonts w:hint="eastAsia" w:asciiTheme="minorEastAsia" w:hAnsiTheme="minorEastAsia" w:eastAsiaTheme="minorEastAsia"/>
          <w:b/>
          <w:bCs/>
          <w:color w:val="2B2B2B"/>
          <w:sz w:val="28"/>
          <w:szCs w:val="28"/>
        </w:rPr>
        <w:t>监测及服务要求：</w:t>
      </w:r>
    </w:p>
    <w:p>
      <w:pPr>
        <w:pStyle w:val="9"/>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480" w:firstLineChars="200"/>
        <w:rPr>
          <w:rFonts w:asciiTheme="minorEastAsia" w:hAnsiTheme="minorEastAsia" w:eastAsiaTheme="minorEastAsia"/>
          <w:color w:val="2B2B2B"/>
          <w:sz w:val="24"/>
          <w:szCs w:val="24"/>
        </w:rPr>
      </w:pPr>
      <w:r>
        <w:rPr>
          <w:rFonts w:hint="eastAsia" w:asciiTheme="minorEastAsia" w:hAnsiTheme="minorEastAsia" w:eastAsiaTheme="minorEastAsia"/>
          <w:color w:val="2B2B2B"/>
          <w:sz w:val="24"/>
          <w:szCs w:val="24"/>
        </w:rPr>
        <w:t>1</w:t>
      </w:r>
      <w:r>
        <w:rPr>
          <w:rFonts w:hint="eastAsia" w:asciiTheme="minorEastAsia" w:hAnsiTheme="minorEastAsia" w:eastAsiaTheme="minorEastAsia"/>
          <w:color w:val="2B2B2B"/>
          <w:sz w:val="24"/>
          <w:szCs w:val="24"/>
          <w:lang w:eastAsia="zh-CN"/>
        </w:rPr>
        <w:t>、</w:t>
      </w:r>
      <w:r>
        <w:rPr>
          <w:rFonts w:hint="eastAsia" w:asciiTheme="minorEastAsia" w:hAnsiTheme="minorEastAsia" w:eastAsiaTheme="minorEastAsia"/>
          <w:color w:val="2B2B2B"/>
          <w:sz w:val="24"/>
          <w:szCs w:val="24"/>
        </w:rPr>
        <w:t>按监测内容及频率定期对废水、废气进行采样监测，并出据具有法律效应的CMA检测报告。</w:t>
      </w:r>
    </w:p>
    <w:p>
      <w:pPr>
        <w:pStyle w:val="9"/>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480" w:firstLineChars="200"/>
        <w:rPr>
          <w:rFonts w:asciiTheme="minorEastAsia" w:hAnsiTheme="minorEastAsia" w:eastAsiaTheme="minorEastAsia"/>
          <w:color w:val="2B2B2B"/>
          <w:sz w:val="24"/>
          <w:szCs w:val="24"/>
        </w:rPr>
      </w:pPr>
      <w:r>
        <w:rPr>
          <w:rFonts w:hint="eastAsia" w:asciiTheme="minorEastAsia" w:hAnsiTheme="minorEastAsia" w:eastAsiaTheme="minorEastAsia"/>
          <w:color w:val="2B2B2B"/>
          <w:sz w:val="24"/>
          <w:szCs w:val="24"/>
        </w:rPr>
        <w:t>2</w:t>
      </w:r>
      <w:r>
        <w:rPr>
          <w:rFonts w:hint="eastAsia" w:asciiTheme="minorEastAsia" w:hAnsiTheme="minorEastAsia" w:eastAsiaTheme="minorEastAsia"/>
          <w:color w:val="2B2B2B"/>
          <w:sz w:val="24"/>
          <w:szCs w:val="24"/>
          <w:lang w:eastAsia="zh-CN"/>
        </w:rPr>
        <w:t>、</w:t>
      </w:r>
      <w:r>
        <w:rPr>
          <w:rFonts w:hint="eastAsia" w:asciiTheme="minorEastAsia" w:hAnsiTheme="minorEastAsia" w:eastAsiaTheme="minorEastAsia"/>
          <w:color w:val="2B2B2B"/>
          <w:sz w:val="24"/>
          <w:szCs w:val="24"/>
        </w:rPr>
        <w:t>废水每次采样不低于3个样，废气每次采样不低于4个点位。</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baseline"/>
        <w:rPr>
          <w:rFonts w:cs="宋体" w:asciiTheme="minorEastAsia" w:hAnsiTheme="minorEastAsia"/>
          <w:color w:val="2B2B2B"/>
          <w:kern w:val="0"/>
          <w:sz w:val="24"/>
          <w:szCs w:val="24"/>
        </w:rPr>
      </w:pPr>
      <w:r>
        <w:rPr>
          <w:rFonts w:hint="eastAsia" w:cs="宋体" w:asciiTheme="minorEastAsia" w:hAnsiTheme="minorEastAsia"/>
          <w:color w:val="2B2B2B"/>
          <w:kern w:val="0"/>
          <w:sz w:val="24"/>
          <w:szCs w:val="24"/>
        </w:rPr>
        <w:t>3</w:t>
      </w:r>
      <w:r>
        <w:rPr>
          <w:rFonts w:hint="eastAsia" w:cs="宋体" w:asciiTheme="minorEastAsia" w:hAnsiTheme="minorEastAsia"/>
          <w:color w:val="2B2B2B"/>
          <w:kern w:val="0"/>
          <w:sz w:val="24"/>
          <w:szCs w:val="24"/>
          <w:lang w:eastAsia="zh-CN"/>
        </w:rPr>
        <w:t>、</w:t>
      </w:r>
      <w:r>
        <w:rPr>
          <w:rFonts w:cs="宋体" w:asciiTheme="minorEastAsia" w:hAnsiTheme="minorEastAsia"/>
          <w:color w:val="2B2B2B"/>
          <w:kern w:val="0"/>
          <w:sz w:val="24"/>
          <w:szCs w:val="24"/>
        </w:rPr>
        <w:t>如果</w:t>
      </w:r>
      <w:r>
        <w:rPr>
          <w:rFonts w:hint="eastAsia" w:cs="宋体" w:asciiTheme="minorEastAsia" w:hAnsiTheme="minorEastAsia"/>
          <w:color w:val="2B2B2B"/>
          <w:kern w:val="0"/>
          <w:sz w:val="24"/>
          <w:szCs w:val="24"/>
        </w:rPr>
        <w:t>监测数据异常</w:t>
      </w:r>
      <w:r>
        <w:rPr>
          <w:rFonts w:cs="宋体" w:asciiTheme="minorEastAsia" w:hAnsiTheme="minorEastAsia"/>
          <w:color w:val="2B2B2B"/>
          <w:kern w:val="0"/>
          <w:sz w:val="24"/>
          <w:szCs w:val="24"/>
        </w:rPr>
        <w:t>，医院进行整改后</w:t>
      </w:r>
      <w:r>
        <w:rPr>
          <w:rFonts w:hint="eastAsia" w:cs="宋体" w:asciiTheme="minorEastAsia" w:hAnsiTheme="minorEastAsia"/>
          <w:color w:val="2B2B2B"/>
          <w:kern w:val="0"/>
          <w:sz w:val="24"/>
          <w:szCs w:val="24"/>
        </w:rPr>
        <w:t>再次取样监测，</w:t>
      </w:r>
      <w:r>
        <w:rPr>
          <w:rFonts w:cs="宋体" w:asciiTheme="minorEastAsia" w:hAnsiTheme="minorEastAsia"/>
          <w:color w:val="2B2B2B"/>
          <w:kern w:val="0"/>
          <w:sz w:val="24"/>
          <w:szCs w:val="24"/>
        </w:rPr>
        <w:t>直到</w:t>
      </w:r>
      <w:r>
        <w:rPr>
          <w:rFonts w:hint="eastAsia" w:cs="宋体" w:asciiTheme="minorEastAsia" w:hAnsiTheme="minorEastAsia"/>
          <w:color w:val="2B2B2B"/>
          <w:kern w:val="0"/>
          <w:sz w:val="24"/>
          <w:szCs w:val="24"/>
        </w:rPr>
        <w:t>监测</w:t>
      </w:r>
      <w:r>
        <w:rPr>
          <w:rFonts w:cs="宋体" w:asciiTheme="minorEastAsia" w:hAnsiTheme="minorEastAsia"/>
          <w:color w:val="2B2B2B"/>
          <w:kern w:val="0"/>
          <w:sz w:val="24"/>
          <w:szCs w:val="24"/>
        </w:rPr>
        <w:t>合格为止</w:t>
      </w:r>
      <w:r>
        <w:rPr>
          <w:rFonts w:hint="eastAsia" w:cs="宋体" w:asciiTheme="minorEastAsia" w:hAnsiTheme="minorEastAsia"/>
          <w:color w:val="2B2B2B"/>
          <w:kern w:val="0"/>
          <w:sz w:val="24"/>
          <w:szCs w:val="24"/>
        </w:rPr>
        <w:t>，不另外收取费用</w:t>
      </w:r>
      <w:r>
        <w:rPr>
          <w:rFonts w:cs="宋体" w:asciiTheme="minorEastAsia" w:hAnsiTheme="minorEastAsia"/>
          <w:color w:val="2B2B2B"/>
          <w:kern w:val="0"/>
          <w:sz w:val="24"/>
          <w:szCs w:val="24"/>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380" w:lineRule="exact"/>
        <w:ind w:firstLine="480" w:firstLineChars="200"/>
        <w:rPr>
          <w:rFonts w:hint="eastAsia" w:asciiTheme="minorEastAsia" w:hAnsiTheme="minorEastAsia" w:eastAsiaTheme="minorEastAsia"/>
          <w:color w:val="2B2B2B"/>
          <w:sz w:val="24"/>
          <w:szCs w:val="24"/>
        </w:rPr>
      </w:pPr>
      <w:r>
        <w:rPr>
          <w:rFonts w:hint="eastAsia" w:cs="Calibri" w:asciiTheme="minorEastAsia" w:hAnsiTheme="minorEastAsia" w:eastAsiaTheme="minorEastAsia"/>
          <w:color w:val="2B2B2B"/>
          <w:kern w:val="2"/>
          <w:sz w:val="24"/>
          <w:szCs w:val="24"/>
        </w:rPr>
        <w:t>4</w:t>
      </w:r>
      <w:r>
        <w:rPr>
          <w:rFonts w:hint="eastAsia" w:cs="Calibri" w:asciiTheme="minorEastAsia" w:hAnsiTheme="minorEastAsia" w:eastAsiaTheme="minorEastAsia"/>
          <w:color w:val="2B2B2B"/>
          <w:kern w:val="2"/>
          <w:sz w:val="24"/>
          <w:szCs w:val="24"/>
          <w:lang w:eastAsia="zh-CN"/>
        </w:rPr>
        <w:t>、</w:t>
      </w:r>
      <w:r>
        <w:rPr>
          <w:rFonts w:hint="eastAsia" w:cs="Calibri" w:asciiTheme="minorEastAsia" w:hAnsiTheme="minorEastAsia" w:eastAsiaTheme="minorEastAsia"/>
          <w:color w:val="2B2B2B"/>
          <w:kern w:val="2"/>
          <w:sz w:val="24"/>
          <w:szCs w:val="24"/>
        </w:rPr>
        <w:t>每季度结束前提供当</w:t>
      </w:r>
      <w:r>
        <w:rPr>
          <w:rFonts w:hint="eastAsia" w:asciiTheme="minorEastAsia" w:hAnsiTheme="minorEastAsia" w:eastAsiaTheme="minorEastAsia"/>
          <w:color w:val="2B2B2B"/>
          <w:sz w:val="24"/>
          <w:szCs w:val="24"/>
        </w:rPr>
        <w:t>季度全部的书面监测报告。</w:t>
      </w:r>
    </w:p>
    <w:p>
      <w:pPr>
        <w:pStyle w:val="10"/>
        <w:keepNext w:val="0"/>
        <w:keepLines w:val="0"/>
        <w:pageBreakBefore w:val="0"/>
        <w:kinsoku/>
        <w:wordWrap/>
        <w:overflowPunct/>
        <w:topLinePunct w:val="0"/>
        <w:autoSpaceDE/>
        <w:autoSpaceDN/>
        <w:bidi w:val="0"/>
        <w:adjustRightInd/>
        <w:snapToGrid/>
        <w:spacing w:line="380" w:lineRule="exact"/>
        <w:ind w:left="0" w:leftChars="0" w:firstLine="480" w:firstLineChars="200"/>
        <w:rPr>
          <w:rFonts w:asciiTheme="minorEastAsia" w:hAnsiTheme="minorEastAsia" w:eastAsiaTheme="minorEastAsia"/>
          <w:color w:val="2B2B2B"/>
          <w:sz w:val="24"/>
          <w:szCs w:val="24"/>
        </w:rPr>
      </w:pPr>
      <w:r>
        <w:rPr>
          <w:rFonts w:hint="eastAsia" w:asciiTheme="minorEastAsia" w:hAnsiTheme="minorEastAsia" w:eastAsiaTheme="minorEastAsia"/>
          <w:color w:val="2B2B2B"/>
          <w:sz w:val="24"/>
          <w:szCs w:val="24"/>
        </w:rPr>
        <w:t>5</w:t>
      </w:r>
      <w:r>
        <w:rPr>
          <w:rFonts w:hint="eastAsia" w:asciiTheme="minorEastAsia" w:hAnsiTheme="minorEastAsia" w:eastAsiaTheme="minorEastAsia"/>
          <w:color w:val="2B2B2B"/>
          <w:sz w:val="24"/>
          <w:szCs w:val="24"/>
          <w:lang w:eastAsia="zh-CN"/>
        </w:rPr>
        <w:t>、</w:t>
      </w:r>
      <w:r>
        <w:rPr>
          <w:rFonts w:hint="eastAsia" w:asciiTheme="minorEastAsia" w:hAnsiTheme="minorEastAsia" w:eastAsiaTheme="minorEastAsia"/>
          <w:color w:val="2B2B2B"/>
          <w:sz w:val="24"/>
          <w:szCs w:val="24"/>
        </w:rPr>
        <w:t>按时完成全国排污许可证管理信息平台、四川省污染源监测信息管理与共享平台两个系统的相关数据填报，填报内容包括台账记录、执行报告、监测方案和监测数据等。</w:t>
      </w:r>
    </w:p>
    <w:p>
      <w:pPr>
        <w:pStyle w:val="9"/>
        <w:keepNext w:val="0"/>
        <w:keepLines w:val="0"/>
        <w:pageBreakBefore w:val="0"/>
        <w:kinsoku/>
        <w:wordWrap/>
        <w:overflowPunct/>
        <w:topLinePunct w:val="0"/>
        <w:autoSpaceDE/>
        <w:autoSpaceDN/>
        <w:bidi w:val="0"/>
        <w:adjustRightInd/>
        <w:snapToGrid/>
        <w:spacing w:before="0" w:beforeAutospacing="0" w:after="0" w:afterAutospacing="0" w:line="380" w:lineRule="exact"/>
        <w:rPr>
          <w:rFonts w:asciiTheme="minorEastAsia" w:hAnsiTheme="minorEastAsia"/>
          <w:b/>
          <w:color w:val="333333"/>
          <w:sz w:val="28"/>
          <w:szCs w:val="28"/>
        </w:rPr>
      </w:pPr>
      <w:r>
        <w:rPr>
          <w:rFonts w:hint="eastAsia" w:asciiTheme="minorEastAsia" w:hAnsiTheme="minorEastAsia" w:eastAsiaTheme="minorEastAsia"/>
          <w:b/>
          <w:bCs/>
          <w:color w:val="2B2B2B"/>
          <w:sz w:val="28"/>
          <w:szCs w:val="28"/>
        </w:rPr>
        <w:t>二、</w:t>
      </w:r>
      <w:r>
        <w:rPr>
          <w:rFonts w:hint="eastAsia" w:asciiTheme="minorEastAsia" w:hAnsiTheme="minorEastAsia"/>
          <w:b/>
          <w:color w:val="333333"/>
          <w:sz w:val="28"/>
          <w:szCs w:val="28"/>
        </w:rPr>
        <w:t>监测内容及监测频率：</w:t>
      </w:r>
    </w:p>
    <w:tbl>
      <w:tblPr>
        <w:tblStyle w:val="11"/>
        <w:tblW w:w="5000" w:type="pct"/>
        <w:tblInd w:w="0" w:type="dxa"/>
        <w:tblLayout w:type="autofit"/>
        <w:tblCellMar>
          <w:top w:w="0" w:type="dxa"/>
          <w:left w:w="108" w:type="dxa"/>
          <w:bottom w:w="0" w:type="dxa"/>
          <w:right w:w="108" w:type="dxa"/>
        </w:tblCellMar>
      </w:tblPr>
      <w:tblGrid>
        <w:gridCol w:w="772"/>
        <w:gridCol w:w="1472"/>
        <w:gridCol w:w="1704"/>
        <w:gridCol w:w="1704"/>
        <w:gridCol w:w="1704"/>
        <w:gridCol w:w="1705"/>
      </w:tblGrid>
      <w:tr>
        <w:tblPrEx>
          <w:tblCellMar>
            <w:top w:w="0" w:type="dxa"/>
            <w:left w:w="108" w:type="dxa"/>
            <w:bottom w:w="0" w:type="dxa"/>
            <w:right w:w="108" w:type="dxa"/>
          </w:tblCellMar>
        </w:tblPrEx>
        <w:trPr>
          <w:trHeight w:val="402" w:hRule="atLeast"/>
        </w:trPr>
        <w:tc>
          <w:tcPr>
            <w:tcW w:w="42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812"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污染物类别</w:t>
            </w:r>
          </w:p>
        </w:tc>
        <w:tc>
          <w:tcPr>
            <w:tcW w:w="940"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监测点位</w:t>
            </w:r>
          </w:p>
        </w:tc>
        <w:tc>
          <w:tcPr>
            <w:tcW w:w="940"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监测类别</w:t>
            </w:r>
          </w:p>
        </w:tc>
        <w:tc>
          <w:tcPr>
            <w:tcW w:w="940"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940"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监测频率</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粪大肠菌群数</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1次/周</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沙门氏菌</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志贺氏菌</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2次/年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PH</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COD</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1次/周</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BOD5</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SS</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1次/周</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动植物油</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石油类</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阴离子表面活性剂</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挥发酚</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总氰化物</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总汞</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总镉</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总铬</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六价铬</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总砷</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总铅</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总银</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总α</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总排口废水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医疗废水</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总β</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12" w:type="pct"/>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污水处理站周边环境空气</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污水周边</w:t>
            </w:r>
          </w:p>
        </w:tc>
        <w:tc>
          <w:tcPr>
            <w:tcW w:w="940" w:type="pct"/>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环境空气</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氨</w:t>
            </w:r>
          </w:p>
        </w:tc>
        <w:tc>
          <w:tcPr>
            <w:tcW w:w="940" w:type="pct"/>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1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color w:val="000000"/>
                <w:kern w:val="0"/>
                <w:sz w:val="24"/>
                <w:szCs w:val="24"/>
              </w:rPr>
            </w:pP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污水周边</w:t>
            </w:r>
          </w:p>
        </w:tc>
        <w:tc>
          <w:tcPr>
            <w:tcW w:w="940"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color w:val="000000"/>
                <w:kern w:val="0"/>
                <w:sz w:val="24"/>
                <w:szCs w:val="24"/>
              </w:rPr>
            </w:pP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硫化氢</w:t>
            </w:r>
          </w:p>
        </w:tc>
        <w:tc>
          <w:tcPr>
            <w:tcW w:w="940"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1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color w:val="000000"/>
                <w:kern w:val="0"/>
                <w:sz w:val="24"/>
                <w:szCs w:val="24"/>
              </w:rPr>
            </w:pP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污水周边</w:t>
            </w:r>
          </w:p>
        </w:tc>
        <w:tc>
          <w:tcPr>
            <w:tcW w:w="940"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color w:val="000000"/>
                <w:kern w:val="0"/>
                <w:sz w:val="24"/>
                <w:szCs w:val="24"/>
              </w:rPr>
            </w:pP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氯气</w:t>
            </w:r>
          </w:p>
        </w:tc>
        <w:tc>
          <w:tcPr>
            <w:tcW w:w="940"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1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color w:val="000000"/>
                <w:kern w:val="0"/>
                <w:sz w:val="24"/>
                <w:szCs w:val="24"/>
              </w:rPr>
            </w:pP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污水周边</w:t>
            </w:r>
          </w:p>
        </w:tc>
        <w:tc>
          <w:tcPr>
            <w:tcW w:w="940"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color w:val="000000"/>
                <w:kern w:val="0"/>
                <w:sz w:val="24"/>
                <w:szCs w:val="24"/>
              </w:rPr>
            </w:pP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甲烷</w:t>
            </w:r>
          </w:p>
        </w:tc>
        <w:tc>
          <w:tcPr>
            <w:tcW w:w="940"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1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color w:val="000000"/>
                <w:kern w:val="0"/>
                <w:sz w:val="24"/>
                <w:szCs w:val="24"/>
              </w:rPr>
            </w:pP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污水周边</w:t>
            </w:r>
          </w:p>
        </w:tc>
        <w:tc>
          <w:tcPr>
            <w:tcW w:w="940"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color w:val="000000"/>
                <w:kern w:val="0"/>
                <w:sz w:val="24"/>
                <w:szCs w:val="24"/>
              </w:rPr>
            </w:pP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温、湿度</w:t>
            </w:r>
          </w:p>
        </w:tc>
        <w:tc>
          <w:tcPr>
            <w:tcW w:w="940"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1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color w:val="000000"/>
                <w:kern w:val="0"/>
                <w:sz w:val="24"/>
                <w:szCs w:val="24"/>
              </w:rPr>
            </w:pP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污水周边</w:t>
            </w:r>
          </w:p>
        </w:tc>
        <w:tc>
          <w:tcPr>
            <w:tcW w:w="940"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color w:val="000000"/>
                <w:kern w:val="0"/>
                <w:sz w:val="24"/>
                <w:szCs w:val="24"/>
              </w:rPr>
            </w:pP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臭气浓度</w:t>
            </w:r>
          </w:p>
        </w:tc>
        <w:tc>
          <w:tcPr>
            <w:tcW w:w="940"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厂界噪声</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医院</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厂界噪声</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大气压、风向</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4次/年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12" w:type="pct"/>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环境空气</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病理室</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室内空气</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甲醛</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1次/年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12"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ascii="宋体" w:hAnsi="宋体" w:eastAsia="宋体" w:cs="宋体"/>
                <w:color w:val="000000"/>
                <w:kern w:val="0"/>
                <w:sz w:val="24"/>
                <w:szCs w:val="24"/>
              </w:rPr>
            </w:pP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病理室</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室内空气</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二甲苯</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1次/年</w:t>
            </w:r>
          </w:p>
        </w:tc>
      </w:tr>
      <w:tr>
        <w:tblPrEx>
          <w:tblCellMar>
            <w:top w:w="0" w:type="dxa"/>
            <w:left w:w="108" w:type="dxa"/>
            <w:bottom w:w="0" w:type="dxa"/>
            <w:right w:w="108" w:type="dxa"/>
          </w:tblCellMar>
        </w:tblPrEx>
        <w:trPr>
          <w:trHeight w:val="402" w:hRule="atLeast"/>
        </w:trPr>
        <w:tc>
          <w:tcPr>
            <w:tcW w:w="426"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1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环氧乙烷</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消毒供应</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室内空气</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TVOC</w:t>
            </w:r>
          </w:p>
        </w:tc>
        <w:tc>
          <w:tcPr>
            <w:tcW w:w="94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ascii="宋体" w:hAnsi="宋体" w:eastAsia="宋体" w:cs="宋体"/>
                <w:kern w:val="0"/>
                <w:sz w:val="24"/>
                <w:szCs w:val="24"/>
              </w:rPr>
            </w:pPr>
            <w:r>
              <w:rPr>
                <w:rFonts w:hint="eastAsia" w:ascii="宋体" w:hAnsi="宋体" w:eastAsia="宋体" w:cs="宋体"/>
                <w:kern w:val="0"/>
                <w:sz w:val="24"/>
                <w:szCs w:val="24"/>
              </w:rPr>
              <w:t>1次/年</w:t>
            </w:r>
          </w:p>
        </w:tc>
      </w:tr>
    </w:tbl>
    <w:p>
      <w:pPr>
        <w:keepNext w:val="0"/>
        <w:keepLines w:val="0"/>
        <w:pageBreakBefore w:val="0"/>
        <w:kinsoku/>
        <w:wordWrap/>
        <w:overflowPunct/>
        <w:topLinePunct w:val="0"/>
        <w:autoSpaceDE/>
        <w:autoSpaceDN/>
        <w:bidi w:val="0"/>
        <w:adjustRightInd/>
        <w:snapToGrid/>
        <w:spacing w:line="380" w:lineRule="exact"/>
        <w:jc w:val="left"/>
        <w:rPr>
          <w:rFonts w:asciiTheme="minorEastAsia" w:hAnsiTheme="minorEastAsia"/>
          <w:b/>
          <w:color w:val="333333"/>
          <w:sz w:val="28"/>
          <w:szCs w:val="28"/>
        </w:rPr>
      </w:pPr>
      <w:r>
        <w:rPr>
          <w:rFonts w:hint="eastAsia" w:asciiTheme="minorEastAsia" w:hAnsiTheme="minorEastAsia"/>
          <w:b/>
          <w:sz w:val="28"/>
          <w:szCs w:val="28"/>
        </w:rPr>
        <w:t>三、</w:t>
      </w:r>
      <w:r>
        <w:rPr>
          <w:rFonts w:hint="eastAsia" w:asciiTheme="minorEastAsia" w:hAnsiTheme="minorEastAsia"/>
          <w:b/>
          <w:color w:val="333333"/>
          <w:sz w:val="28"/>
          <w:szCs w:val="28"/>
        </w:rPr>
        <w:t>执行排放标准：</w:t>
      </w:r>
    </w:p>
    <w:p>
      <w:pPr>
        <w:keepNext w:val="0"/>
        <w:keepLines w:val="0"/>
        <w:pageBreakBefore w:val="0"/>
        <w:kinsoku/>
        <w:wordWrap/>
        <w:overflowPunct/>
        <w:topLinePunct w:val="0"/>
        <w:autoSpaceDE/>
        <w:autoSpaceDN/>
        <w:bidi w:val="0"/>
        <w:adjustRightInd/>
        <w:snapToGrid/>
        <w:spacing w:line="380" w:lineRule="exact"/>
        <w:ind w:firstLine="480" w:firstLineChars="200"/>
        <w:rPr>
          <w:rFonts w:ascii="宋体" w:hAnsi="宋体" w:cs="宋体"/>
          <w:sz w:val="24"/>
          <w:szCs w:val="24"/>
        </w:rPr>
      </w:pPr>
      <w:r>
        <w:rPr>
          <w:rFonts w:hint="eastAsia" w:ascii="宋体" w:hAnsi="宋体"/>
          <w:sz w:val="24"/>
          <w:szCs w:val="24"/>
        </w:rPr>
        <w:t>废水经处理达到GB18466-2005《医疗机构水污染排放标准》表2“综合医疗机构和其它医疗机构水污染物排放限值”中规定的预排放标准后排放至市政管网。</w:t>
      </w:r>
    </w:p>
    <w:tbl>
      <w:tblPr>
        <w:tblStyle w:val="11"/>
        <w:tblW w:w="488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3866"/>
        <w:gridCol w:w="2132"/>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ascii="宋体" w:hAnsi="宋体"/>
                <w:sz w:val="24"/>
                <w:szCs w:val="24"/>
              </w:rPr>
              <w:t>序号</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ascii="宋体" w:hAnsi="宋体"/>
                <w:sz w:val="24"/>
                <w:szCs w:val="24"/>
              </w:rPr>
              <w:t>控制项目</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ascii="宋体" w:hAnsi="宋体"/>
                <w:sz w:val="24"/>
                <w:szCs w:val="24"/>
              </w:rPr>
              <w:t>排放标准</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ascii="宋体" w:hAnsi="宋体"/>
                <w:sz w:val="24"/>
                <w:szCs w:val="24"/>
              </w:rPr>
              <w:t>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粪大肠菌群数（MPN/L）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500</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2</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肠道致病菌</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不得检出</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3</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肠道病毒</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不得检出</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4</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PH</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6-9</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5</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化学需氧量（mg/L）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60</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6</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生化需氧量(mg/L）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20</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7</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悬浮物(mg/L）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20</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8</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氨氮</w:t>
            </w:r>
            <w:bookmarkStart w:id="5" w:name="OLE_LINK1"/>
            <w:bookmarkStart w:id="6" w:name="OLE_LINK2"/>
            <w:r>
              <w:rPr>
                <w:rFonts w:hint="eastAsia" w:ascii="宋体" w:hAnsi="宋体"/>
                <w:sz w:val="24"/>
                <w:szCs w:val="24"/>
              </w:rPr>
              <w:t>（mg/L）</w:t>
            </w:r>
            <w:bookmarkEnd w:id="5"/>
            <w:bookmarkEnd w:id="6"/>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15</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9</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动植物油（mg/L）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5</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10</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石油类（mg/L）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5</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11</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阴离子表面活性剂（mg/L）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5</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12</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色度</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30</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13</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挥发酚（mg/L）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0.5</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14</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总氰化物（mg/L）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0.6</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15</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总汞（mg/L）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0.05</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16</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总镉（mg/L）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0.1</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17</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总铬（mg/L）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1.5</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18</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六价铬（mg/L）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0.5</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19</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总砷（mg/L）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0.5</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20</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总铅（mg/L）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1.1</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21</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总银（mg/L）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0.5</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22</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总A（bq/L）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23</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总B（bq/L）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10</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8"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24</w:t>
            </w:r>
          </w:p>
        </w:tc>
        <w:tc>
          <w:tcPr>
            <w:tcW w:w="2183"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总余氯（mg/L）</w:t>
            </w:r>
          </w:p>
        </w:tc>
        <w:tc>
          <w:tcPr>
            <w:tcW w:w="120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0.5</w:t>
            </w:r>
          </w:p>
        </w:tc>
        <w:tc>
          <w:tcPr>
            <w:tcW w:w="1144" w:type="pct"/>
          </w:tcPr>
          <w:p>
            <w:pPr>
              <w:keepNext w:val="0"/>
              <w:keepLines w:val="0"/>
              <w:pageBreakBefore w:val="0"/>
              <w:kinsoku/>
              <w:wordWrap/>
              <w:overflowPunct/>
              <w:topLinePunct w:val="0"/>
              <w:autoSpaceDE/>
              <w:autoSpaceDN/>
              <w:bidi w:val="0"/>
              <w:adjustRightInd/>
              <w:snapToGrid/>
              <w:spacing w:line="380" w:lineRule="exact"/>
              <w:jc w:val="center"/>
              <w:rPr>
                <w:rFonts w:ascii="宋体" w:hAnsi="宋体"/>
                <w:sz w:val="24"/>
                <w:szCs w:val="24"/>
              </w:rPr>
            </w:pPr>
            <w:r>
              <w:rPr>
                <w:rFonts w:hint="eastAsia" w:ascii="宋体" w:hAnsi="宋体"/>
                <w:sz w:val="24"/>
                <w:szCs w:val="24"/>
              </w:rPr>
              <w:t>--</w:t>
            </w:r>
          </w:p>
        </w:tc>
      </w:tr>
    </w:tbl>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80" w:lineRule="exact"/>
        <w:ind w:leftChars="0"/>
        <w:rPr>
          <w:rFonts w:hint="eastAsia" w:asciiTheme="minorEastAsia" w:hAnsiTheme="minorEastAsia"/>
          <w:b/>
          <w:color w:val="auto"/>
          <w:sz w:val="28"/>
          <w:szCs w:val="28"/>
        </w:rPr>
      </w:pPr>
      <w:r>
        <w:rPr>
          <w:rFonts w:hint="eastAsia" w:asciiTheme="minorEastAsia" w:hAnsiTheme="minorEastAsia"/>
          <w:b/>
          <w:color w:val="auto"/>
          <w:sz w:val="28"/>
          <w:szCs w:val="28"/>
          <w:lang w:val="en-US" w:eastAsia="zh-CN"/>
        </w:rPr>
        <w:t>四、</w:t>
      </w:r>
      <w:r>
        <w:rPr>
          <w:rFonts w:hint="eastAsia" w:asciiTheme="minorEastAsia" w:hAnsiTheme="minorEastAsia"/>
          <w:b/>
          <w:color w:val="auto"/>
          <w:sz w:val="28"/>
          <w:szCs w:val="28"/>
          <w:lang w:eastAsia="zh-CN"/>
        </w:rPr>
        <w:t>采购限价、服务期限</w:t>
      </w:r>
      <w:r>
        <w:rPr>
          <w:rFonts w:hint="eastAsia" w:asciiTheme="minorEastAsia" w:hAnsiTheme="minorEastAsia"/>
          <w:b/>
          <w:color w:val="auto"/>
          <w:sz w:val="28"/>
          <w:szCs w:val="28"/>
        </w:rPr>
        <w:t>：</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80" w:lineRule="exact"/>
        <w:rPr>
          <w:rFonts w:hint="default" w:eastAsia="宋体" w:asciiTheme="minorEastAsia" w:hAnsiTheme="minorEastAsia"/>
          <w:b/>
          <w:color w:val="auto"/>
          <w:sz w:val="24"/>
          <w:szCs w:val="24"/>
          <w:lang w:val="en-US" w:eastAsia="zh-CN"/>
        </w:rPr>
      </w:pPr>
      <w:r>
        <w:rPr>
          <w:rFonts w:hint="eastAsia" w:asciiTheme="minorEastAsia" w:hAnsiTheme="minorEastAsia"/>
          <w:b/>
          <w:color w:val="auto"/>
          <w:sz w:val="24"/>
          <w:szCs w:val="24"/>
          <w:lang w:val="en-US" w:eastAsia="zh-CN"/>
        </w:rPr>
        <w:t>1、采购限价：11万元</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80" w:lineRule="exact"/>
        <w:rPr>
          <w:rFonts w:hint="default" w:eastAsia="宋体" w:asciiTheme="minorEastAsia" w:hAnsiTheme="minorEastAsia"/>
          <w:b/>
          <w:color w:val="auto"/>
          <w:sz w:val="28"/>
          <w:szCs w:val="28"/>
          <w:lang w:val="en-US" w:eastAsia="zh-CN"/>
        </w:rPr>
      </w:pPr>
      <w:r>
        <w:rPr>
          <w:rFonts w:hint="eastAsia" w:asciiTheme="minorEastAsia" w:hAnsiTheme="minorEastAsia"/>
          <w:b/>
          <w:color w:val="auto"/>
          <w:sz w:val="24"/>
          <w:szCs w:val="24"/>
          <w:lang w:val="en-US" w:eastAsia="zh-CN"/>
        </w:rPr>
        <w:t>2、</w:t>
      </w:r>
      <w:r>
        <w:rPr>
          <w:rFonts w:hint="eastAsia" w:asciiTheme="minorEastAsia" w:hAnsiTheme="minorEastAsia"/>
          <w:b/>
          <w:color w:val="auto"/>
          <w:sz w:val="24"/>
          <w:szCs w:val="24"/>
          <w:lang w:eastAsia="zh-CN"/>
        </w:rPr>
        <w:t>服务期限：</w:t>
      </w:r>
      <w:r>
        <w:rPr>
          <w:rFonts w:hint="eastAsia" w:asciiTheme="minorEastAsia" w:hAnsiTheme="minorEastAsia"/>
          <w:b/>
          <w:color w:val="auto"/>
          <w:sz w:val="24"/>
          <w:szCs w:val="24"/>
          <w:lang w:val="en-US" w:eastAsia="zh-CN"/>
        </w:rPr>
        <w:t>从2022年6月1日至2024年12月31日，共31个月。</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80" w:lineRule="exact"/>
        <w:ind w:leftChars="0"/>
        <w:rPr>
          <w:rFonts w:hint="eastAsia" w:asciiTheme="minorEastAsia" w:hAnsiTheme="minorEastAsia"/>
          <w:b/>
          <w:color w:val="auto"/>
          <w:sz w:val="28"/>
          <w:szCs w:val="28"/>
          <w:lang w:eastAsia="zh-CN"/>
        </w:rPr>
      </w:pPr>
      <w:r>
        <w:rPr>
          <w:rFonts w:hint="eastAsia" w:asciiTheme="minorEastAsia" w:hAnsiTheme="minorEastAsia"/>
          <w:b/>
          <w:color w:val="auto"/>
          <w:sz w:val="28"/>
          <w:szCs w:val="28"/>
          <w:lang w:val="en-US" w:eastAsia="zh-CN"/>
        </w:rPr>
        <w:t>五、</w:t>
      </w:r>
      <w:r>
        <w:rPr>
          <w:rFonts w:hint="eastAsia" w:asciiTheme="minorEastAsia" w:hAnsiTheme="minorEastAsia"/>
          <w:b/>
          <w:color w:val="auto"/>
          <w:sz w:val="28"/>
          <w:szCs w:val="28"/>
          <w:lang w:eastAsia="zh-CN"/>
        </w:rPr>
        <w:t>商务要求：</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baseline"/>
        <w:rPr>
          <w:rStyle w:val="20"/>
          <w:rFonts w:ascii="Times New Roman" w:hAnsi="Times New Roman" w:cs="Times New Roman"/>
          <w:sz w:val="24"/>
          <w:szCs w:val="24"/>
        </w:rPr>
      </w:pPr>
      <w:r>
        <w:rPr>
          <w:rStyle w:val="20"/>
          <w:rFonts w:hint="eastAsia" w:ascii="Times New Roman" w:hAnsi="Times New Roman" w:cs="Times New Roman"/>
          <w:sz w:val="24"/>
          <w:szCs w:val="24"/>
          <w:lang w:val="en-US"/>
        </w:rPr>
        <w:t>1、</w:t>
      </w:r>
      <w:r>
        <w:rPr>
          <w:rStyle w:val="20"/>
          <w:rFonts w:hint="eastAsia" w:ascii="Times New Roman" w:hAnsi="Times New Roman" w:cs="Times New Roman"/>
          <w:sz w:val="24"/>
          <w:szCs w:val="24"/>
        </w:rPr>
        <w:t>院</w:t>
      </w:r>
      <w:r>
        <w:rPr>
          <w:rStyle w:val="20"/>
          <w:rFonts w:ascii="Times New Roman" w:hAnsi="Times New Roman" w:cs="Times New Roman"/>
          <w:sz w:val="24"/>
          <w:szCs w:val="24"/>
        </w:rPr>
        <w:t>方同意</w:t>
      </w:r>
      <w:r>
        <w:rPr>
          <w:rStyle w:val="20"/>
          <w:rFonts w:hint="eastAsia" w:ascii="Times New Roman" w:hAnsi="Times New Roman" w:cs="Times New Roman"/>
          <w:sz w:val="24"/>
          <w:szCs w:val="24"/>
        </w:rPr>
        <w:t>检测机构</w:t>
      </w:r>
      <w:r>
        <w:rPr>
          <w:rStyle w:val="20"/>
          <w:rFonts w:ascii="Times New Roman" w:hAnsi="Times New Roman" w:cs="Times New Roman"/>
          <w:sz w:val="24"/>
          <w:szCs w:val="24"/>
        </w:rPr>
        <w:t>将不在</w:t>
      </w:r>
      <w:r>
        <w:rPr>
          <w:rStyle w:val="20"/>
          <w:rFonts w:hint="eastAsia" w:ascii="Times New Roman" w:hAnsi="Times New Roman" w:cs="Times New Roman"/>
          <w:sz w:val="24"/>
          <w:szCs w:val="24"/>
        </w:rPr>
        <w:t>该公司</w:t>
      </w:r>
      <w:r>
        <w:rPr>
          <w:rStyle w:val="20"/>
          <w:rFonts w:ascii="Times New Roman" w:hAnsi="Times New Roman" w:cs="Times New Roman"/>
          <w:sz w:val="24"/>
          <w:szCs w:val="24"/>
        </w:rPr>
        <w:t>检测资质范围内的项目委托给其他有资质的检测机构检测，</w:t>
      </w:r>
      <w:r>
        <w:rPr>
          <w:rStyle w:val="20"/>
          <w:rFonts w:hint="eastAsia" w:ascii="Times New Roman" w:hAnsi="Times New Roman" w:cs="Times New Roman"/>
          <w:sz w:val="24"/>
          <w:szCs w:val="24"/>
        </w:rPr>
        <w:t>但要</w:t>
      </w:r>
      <w:r>
        <w:rPr>
          <w:rStyle w:val="20"/>
          <w:rFonts w:ascii="Times New Roman" w:hAnsi="Times New Roman" w:cs="Times New Roman"/>
          <w:sz w:val="24"/>
          <w:szCs w:val="24"/>
        </w:rPr>
        <w:t>将检测结果出具在同一份报告单上</w:t>
      </w:r>
      <w:r>
        <w:rPr>
          <w:rStyle w:val="20"/>
          <w:rFonts w:hint="eastAsia" w:ascii="Times New Roman" w:hAnsi="Times New Roman" w:cs="Times New Roman"/>
          <w:sz w:val="24"/>
          <w:szCs w:val="24"/>
        </w:rPr>
        <w:t>（附上其他检测机构的检测报告）</w:t>
      </w:r>
      <w:r>
        <w:rPr>
          <w:rStyle w:val="20"/>
          <w:rFonts w:ascii="Times New Roman" w:hAnsi="Times New Roman" w:cs="Times New Roman"/>
          <w:sz w:val="24"/>
          <w:szCs w:val="24"/>
        </w:rPr>
        <w:t>。如果未检测合格，院</w:t>
      </w:r>
      <w:r>
        <w:rPr>
          <w:rStyle w:val="20"/>
          <w:rFonts w:hint="eastAsia" w:ascii="Times New Roman" w:hAnsi="Times New Roman" w:cs="Times New Roman"/>
          <w:sz w:val="24"/>
          <w:szCs w:val="24"/>
        </w:rPr>
        <w:t>方</w:t>
      </w:r>
      <w:r>
        <w:rPr>
          <w:rStyle w:val="20"/>
          <w:rFonts w:ascii="Times New Roman" w:hAnsi="Times New Roman" w:cs="Times New Roman"/>
          <w:sz w:val="24"/>
          <w:szCs w:val="24"/>
        </w:rPr>
        <w:t>进行整改后，</w:t>
      </w:r>
      <w:r>
        <w:rPr>
          <w:rStyle w:val="20"/>
          <w:rFonts w:hint="eastAsia" w:ascii="Times New Roman" w:hAnsi="Times New Roman" w:cs="Times New Roman"/>
          <w:sz w:val="24"/>
          <w:szCs w:val="24"/>
        </w:rPr>
        <w:t>检测机构</w:t>
      </w:r>
      <w:r>
        <w:rPr>
          <w:rStyle w:val="20"/>
          <w:rFonts w:ascii="Times New Roman" w:hAnsi="Times New Roman" w:cs="Times New Roman"/>
          <w:sz w:val="24"/>
          <w:szCs w:val="24"/>
        </w:rPr>
        <w:t>不得向</w:t>
      </w:r>
      <w:r>
        <w:rPr>
          <w:rStyle w:val="20"/>
          <w:rFonts w:hint="eastAsia" w:ascii="Times New Roman" w:hAnsi="Times New Roman" w:cs="Times New Roman"/>
          <w:sz w:val="24"/>
          <w:szCs w:val="24"/>
        </w:rPr>
        <w:t>院方</w:t>
      </w:r>
      <w:r>
        <w:rPr>
          <w:rStyle w:val="20"/>
          <w:rFonts w:ascii="Times New Roman" w:hAnsi="Times New Roman" w:cs="Times New Roman"/>
          <w:sz w:val="24"/>
          <w:szCs w:val="24"/>
        </w:rPr>
        <w:t>收取任何复测费用，直到检测合格为止。</w:t>
      </w:r>
    </w:p>
    <w:p>
      <w:pPr>
        <w:pStyle w:val="10"/>
        <w:keepNext w:val="0"/>
        <w:keepLines w:val="0"/>
        <w:pageBreakBefore w:val="0"/>
        <w:kinsoku/>
        <w:wordWrap/>
        <w:overflowPunct/>
        <w:topLinePunct w:val="0"/>
        <w:autoSpaceDE/>
        <w:autoSpaceDN/>
        <w:bidi w:val="0"/>
        <w:adjustRightInd/>
        <w:snapToGrid/>
        <w:spacing w:line="380" w:lineRule="exact"/>
        <w:ind w:left="0" w:leftChars="0" w:firstLine="480" w:firstLineChars="200"/>
      </w:pPr>
      <w:r>
        <w:rPr>
          <w:rStyle w:val="20"/>
          <w:rFonts w:hint="eastAsia" w:ascii="Times New Roman" w:hAnsi="Times New Roman" w:cs="Times New Roman"/>
          <w:sz w:val="24"/>
          <w:szCs w:val="24"/>
          <w:lang w:val="en-US"/>
        </w:rPr>
        <w:t>2、</w:t>
      </w:r>
      <w:r>
        <w:rPr>
          <w:rStyle w:val="20"/>
          <w:rFonts w:hint="eastAsia" w:ascii="Times New Roman" w:hAnsi="Times New Roman" w:cs="Times New Roman"/>
          <w:sz w:val="24"/>
          <w:szCs w:val="24"/>
        </w:rPr>
        <w:t>检测机构在得到院方确认数据后，负责完成网上填报全国排污许可证管理信息平台、四川省污染源监测信息管理与共享平台两个系统的相关数据；内容包括台账记录、执行报告、监测方案和监测数据等。</w:t>
      </w:r>
    </w:p>
    <w:p>
      <w:pPr>
        <w:keepNext w:val="0"/>
        <w:keepLines w:val="0"/>
        <w:pageBreakBefore w:val="0"/>
        <w:kinsoku/>
        <w:wordWrap/>
        <w:overflowPunct/>
        <w:topLinePunct w:val="0"/>
        <w:autoSpaceDE/>
        <w:autoSpaceDN/>
        <w:bidi w:val="0"/>
        <w:adjustRightInd/>
        <w:snapToGrid/>
        <w:spacing w:line="3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、检测技术服务依照国家相关检测标准为验收依据。检测服务项目的质量保证期</w:t>
      </w:r>
      <w:r>
        <w:rPr>
          <w:rFonts w:hint="eastAsia" w:ascii="Times New Roman" w:hAnsi="Times New Roman" w:cs="Times New Roman"/>
          <w:sz w:val="24"/>
          <w:szCs w:val="24"/>
          <w:lang w:eastAsia="zh-CN"/>
        </w:rPr>
        <w:t>按</w:t>
      </w:r>
      <w:r>
        <w:rPr>
          <w:rFonts w:ascii="Times New Roman" w:hAnsi="Times New Roman" w:cs="Times New Roman"/>
          <w:sz w:val="24"/>
          <w:szCs w:val="24"/>
        </w:rPr>
        <w:t>照</w:t>
      </w:r>
      <w:r>
        <w:rPr>
          <w:rFonts w:hint="eastAsia" w:ascii="Times New Roman" w:hAnsi="Times New Roman" w:cs="Times New Roman"/>
          <w:sz w:val="24"/>
          <w:szCs w:val="24"/>
          <w:lang w:eastAsia="zh-CN"/>
        </w:rPr>
        <w:t>国家和</w:t>
      </w:r>
      <w:r>
        <w:rPr>
          <w:rFonts w:ascii="Times New Roman" w:hAnsi="Times New Roman" w:cs="Times New Roman"/>
          <w:sz w:val="24"/>
          <w:szCs w:val="24"/>
        </w:rPr>
        <w:t>行业管理规定。</w:t>
      </w:r>
    </w:p>
    <w:p>
      <w:pPr>
        <w:keepNext w:val="0"/>
        <w:keepLines w:val="0"/>
        <w:pageBreakBefore w:val="0"/>
        <w:kinsoku/>
        <w:wordWrap/>
        <w:overflowPunct/>
        <w:topLinePunct w:val="0"/>
        <w:autoSpaceDE/>
        <w:autoSpaceDN/>
        <w:bidi w:val="0"/>
        <w:adjustRightInd/>
        <w:snapToGrid/>
        <w:spacing w:line="3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eastAsia="zh-CN"/>
        </w:rPr>
        <w:t>4</w:t>
      </w:r>
      <w:r>
        <w:rPr>
          <w:rFonts w:ascii="Times New Roman" w:hAnsi="Times New Roman" w:cs="Times New Roman"/>
          <w:sz w:val="24"/>
          <w:szCs w:val="24"/>
        </w:rPr>
        <w:t>、</w:t>
      </w:r>
      <w:r>
        <w:rPr>
          <w:rFonts w:hint="eastAsia" w:ascii="Times New Roman" w:hAnsi="Times New Roman" w:cs="Times New Roman"/>
          <w:sz w:val="24"/>
          <w:szCs w:val="24"/>
          <w:lang w:eastAsia="zh-CN"/>
        </w:rPr>
        <w:t>检测机构</w:t>
      </w:r>
      <w:r>
        <w:rPr>
          <w:rFonts w:ascii="Times New Roman" w:hAnsi="Times New Roman" w:cs="Times New Roman"/>
          <w:sz w:val="24"/>
          <w:szCs w:val="24"/>
        </w:rPr>
        <w:t>作为专业的技术服务机构，坚持客观、求实、科学、公正的立场，不受来自行政、财政、商业或其他方面的干扰，避免卷入任何可能降低技术能力、公正性、诚实性的活动。</w:t>
      </w:r>
    </w:p>
    <w:p>
      <w:pPr>
        <w:keepNext w:val="0"/>
        <w:keepLines w:val="0"/>
        <w:pageBreakBefore w:val="0"/>
        <w:kinsoku/>
        <w:wordWrap/>
        <w:overflowPunct/>
        <w:topLinePunct w:val="0"/>
        <w:autoSpaceDE/>
        <w:autoSpaceDN/>
        <w:bidi w:val="0"/>
        <w:adjustRightInd/>
        <w:snapToGrid/>
        <w:spacing w:line="3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eastAsia="zh-CN"/>
        </w:rPr>
        <w:t>5</w:t>
      </w:r>
      <w:r>
        <w:rPr>
          <w:rFonts w:ascii="Times New Roman" w:hAnsi="Times New Roman" w:cs="Times New Roman"/>
          <w:sz w:val="24"/>
          <w:szCs w:val="24"/>
        </w:rPr>
        <w:t>、</w:t>
      </w:r>
      <w:r>
        <w:rPr>
          <w:rFonts w:hint="eastAsia" w:ascii="Times New Roman" w:hAnsi="Times New Roman" w:cs="Times New Roman"/>
          <w:sz w:val="24"/>
          <w:szCs w:val="24"/>
          <w:lang w:eastAsia="zh-CN"/>
        </w:rPr>
        <w:t>检测机构</w:t>
      </w:r>
      <w:r>
        <w:rPr>
          <w:rFonts w:ascii="Times New Roman" w:hAnsi="Times New Roman" w:cs="Times New Roman"/>
          <w:sz w:val="24"/>
          <w:szCs w:val="24"/>
        </w:rPr>
        <w:t>在项目执行过程中，就发现的与本项目相关联的问题应及时与</w:t>
      </w:r>
      <w:r>
        <w:rPr>
          <w:rFonts w:hint="eastAsia" w:ascii="Times New Roman" w:hAnsi="Times New Roman" w:cs="Times New Roman"/>
          <w:sz w:val="24"/>
          <w:szCs w:val="24"/>
          <w:lang w:eastAsia="zh-CN"/>
        </w:rPr>
        <w:t>院</w:t>
      </w:r>
      <w:r>
        <w:rPr>
          <w:rFonts w:ascii="Times New Roman" w:hAnsi="Times New Roman" w:cs="Times New Roman"/>
          <w:sz w:val="24"/>
          <w:szCs w:val="24"/>
        </w:rPr>
        <w:t>方沟通，以便</w:t>
      </w:r>
      <w:r>
        <w:rPr>
          <w:rFonts w:hint="eastAsia" w:ascii="Times New Roman" w:hAnsi="Times New Roman" w:cs="Times New Roman"/>
          <w:sz w:val="24"/>
          <w:szCs w:val="24"/>
          <w:lang w:eastAsia="zh-CN"/>
        </w:rPr>
        <w:t>院</w:t>
      </w:r>
      <w:r>
        <w:rPr>
          <w:rFonts w:ascii="Times New Roman" w:hAnsi="Times New Roman" w:cs="Times New Roman"/>
          <w:sz w:val="24"/>
          <w:szCs w:val="24"/>
        </w:rPr>
        <w:t>方及时整改。</w:t>
      </w:r>
    </w:p>
    <w:p>
      <w:pPr>
        <w:keepNext w:val="0"/>
        <w:keepLines w:val="0"/>
        <w:pageBreakBefore w:val="0"/>
        <w:kinsoku/>
        <w:wordWrap/>
        <w:overflowPunct/>
        <w:topLinePunct w:val="0"/>
        <w:autoSpaceDE/>
        <w:autoSpaceDN/>
        <w:bidi w:val="0"/>
        <w:adjustRightInd/>
        <w:snapToGrid/>
        <w:spacing w:line="38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eastAsia="zh-CN"/>
        </w:rPr>
        <w:t>6</w:t>
      </w:r>
      <w:r>
        <w:rPr>
          <w:rFonts w:ascii="Times New Roman" w:hAnsi="Times New Roman" w:cs="Times New Roman"/>
          <w:sz w:val="24"/>
          <w:szCs w:val="24"/>
        </w:rPr>
        <w:t>、</w:t>
      </w:r>
      <w:r>
        <w:rPr>
          <w:rFonts w:hint="eastAsia" w:ascii="Times New Roman" w:hAnsi="Times New Roman" w:cs="Times New Roman"/>
          <w:sz w:val="24"/>
          <w:szCs w:val="24"/>
          <w:lang w:eastAsia="zh-CN"/>
        </w:rPr>
        <w:t>检测机构要</w:t>
      </w:r>
      <w:r>
        <w:rPr>
          <w:rFonts w:ascii="Times New Roman" w:hAnsi="Times New Roman" w:cs="Times New Roman"/>
          <w:sz w:val="24"/>
          <w:szCs w:val="24"/>
        </w:rPr>
        <w:t>严格遵守保密制度，非法定原因不得向第三方披露检测信息。</w:t>
      </w:r>
    </w:p>
    <w:p>
      <w:pPr>
        <w:keepNext w:val="0"/>
        <w:keepLines w:val="0"/>
        <w:pageBreakBefore w:val="0"/>
        <w:kinsoku/>
        <w:wordWrap/>
        <w:overflowPunct/>
        <w:topLinePunct w:val="0"/>
        <w:autoSpaceDE/>
        <w:autoSpaceDN/>
        <w:bidi w:val="0"/>
        <w:adjustRightInd/>
        <w:snapToGrid/>
        <w:spacing w:line="380" w:lineRule="exact"/>
        <w:ind w:firstLine="480" w:firstLineChars="200"/>
        <w:rPr>
          <w:rFonts w:ascii="Times New Roman" w:hAnsi="Times New Roman" w:cs="Times New Roman"/>
          <w:sz w:val="28"/>
          <w:szCs w:val="28"/>
        </w:rPr>
      </w:pPr>
      <w:r>
        <w:rPr>
          <w:rFonts w:hint="eastAsia" w:ascii="Times New Roman" w:hAnsi="Times New Roman" w:cs="Times New Roman"/>
          <w:sz w:val="24"/>
          <w:szCs w:val="24"/>
          <w:lang w:val="en-US" w:eastAsia="zh-CN"/>
        </w:rPr>
        <w:t>7</w:t>
      </w:r>
      <w:r>
        <w:rPr>
          <w:rFonts w:ascii="Times New Roman" w:hAnsi="Times New Roman" w:cs="Times New Roman"/>
          <w:sz w:val="24"/>
          <w:szCs w:val="24"/>
        </w:rPr>
        <w:t>、</w:t>
      </w:r>
      <w:r>
        <w:rPr>
          <w:rFonts w:hint="eastAsia" w:ascii="Times New Roman" w:hAnsi="Times New Roman" w:cs="Times New Roman"/>
          <w:sz w:val="24"/>
          <w:szCs w:val="24"/>
          <w:lang w:eastAsia="zh-CN"/>
        </w:rPr>
        <w:t>检测机构</w:t>
      </w:r>
      <w:r>
        <w:rPr>
          <w:rFonts w:ascii="Times New Roman" w:hAnsi="Times New Roman" w:cs="Times New Roman"/>
          <w:sz w:val="24"/>
          <w:szCs w:val="24"/>
        </w:rPr>
        <w:t>未按</w:t>
      </w:r>
      <w:r>
        <w:rPr>
          <w:rFonts w:hint="eastAsia" w:ascii="Times New Roman" w:hAnsi="Times New Roman" w:cs="Times New Roman"/>
          <w:sz w:val="24"/>
          <w:szCs w:val="24"/>
          <w:lang w:eastAsia="zh-CN"/>
        </w:rPr>
        <w:t>监测频次在约定时间内</w:t>
      </w:r>
      <w:r>
        <w:rPr>
          <w:rFonts w:ascii="Times New Roman" w:hAnsi="Times New Roman" w:cs="Times New Roman"/>
          <w:sz w:val="24"/>
          <w:szCs w:val="24"/>
        </w:rPr>
        <w:t>提交检测</w:t>
      </w:r>
      <w:r>
        <w:rPr>
          <w:rFonts w:hint="eastAsia" w:ascii="Times New Roman" w:hAnsi="Times New Roman" w:cs="Times New Roman"/>
          <w:sz w:val="24"/>
          <w:szCs w:val="24"/>
          <w:lang w:eastAsia="zh-CN"/>
        </w:rPr>
        <w:t>报告</w:t>
      </w:r>
      <w:r>
        <w:rPr>
          <w:rFonts w:ascii="Times New Roman" w:hAnsi="Times New Roman" w:cs="Times New Roman"/>
          <w:sz w:val="24"/>
          <w:szCs w:val="24"/>
        </w:rPr>
        <w:t>的，每延迟一日，按协议总金额的1%向</w:t>
      </w:r>
      <w:r>
        <w:rPr>
          <w:rFonts w:hint="eastAsia" w:ascii="Times New Roman" w:hAnsi="Times New Roman" w:cs="Times New Roman"/>
          <w:sz w:val="24"/>
          <w:szCs w:val="24"/>
          <w:lang w:eastAsia="zh-CN"/>
        </w:rPr>
        <w:t>院</w:t>
      </w:r>
      <w:r>
        <w:rPr>
          <w:rFonts w:ascii="Times New Roman" w:hAnsi="Times New Roman" w:cs="Times New Roman"/>
          <w:sz w:val="24"/>
          <w:szCs w:val="24"/>
        </w:rPr>
        <w:t>方支付违约金。</w:t>
      </w:r>
    </w:p>
    <w:p>
      <w:pPr>
        <w:pStyle w:val="10"/>
        <w:keepNext w:val="0"/>
        <w:keepLines w:val="0"/>
        <w:pageBreakBefore w:val="0"/>
        <w:kinsoku/>
        <w:wordWrap/>
        <w:overflowPunct/>
        <w:topLinePunct w:val="0"/>
        <w:autoSpaceDE/>
        <w:autoSpaceDN/>
        <w:bidi w:val="0"/>
        <w:adjustRightInd/>
        <w:snapToGrid/>
        <w:spacing w:line="380" w:lineRule="exact"/>
        <w:ind w:left="0" w:leftChars="0" w:firstLine="480" w:firstLineChars="200"/>
      </w:pPr>
      <w:r>
        <w:rPr>
          <w:rFonts w:hint="eastAsia"/>
          <w:sz w:val="24"/>
          <w:szCs w:val="24"/>
          <w:lang w:val="en-US" w:eastAsia="zh-CN"/>
        </w:rPr>
        <w:t>8、</w:t>
      </w:r>
      <w:r>
        <w:rPr>
          <w:rFonts w:ascii="Times New Roman" w:hAnsi="Times New Roman" w:cs="Times New Roman"/>
          <w:sz w:val="24"/>
          <w:szCs w:val="24"/>
        </w:rPr>
        <w:t>乙方未按</w:t>
      </w:r>
      <w:r>
        <w:rPr>
          <w:rFonts w:hint="eastAsia" w:ascii="Times New Roman" w:hAnsi="Times New Roman" w:cs="Times New Roman"/>
          <w:sz w:val="24"/>
          <w:szCs w:val="24"/>
        </w:rPr>
        <w:t>规定定期完成网上数据填报，造成的后果及处罚全部由乙方承担。</w:t>
      </w:r>
    </w:p>
    <w:p>
      <w:pPr>
        <w:keepNext w:val="0"/>
        <w:keepLines w:val="0"/>
        <w:pageBreakBefore w:val="0"/>
        <w:kinsoku/>
        <w:wordWrap/>
        <w:overflowPunct/>
        <w:topLinePunct w:val="0"/>
        <w:autoSpaceDE/>
        <w:autoSpaceDN/>
        <w:bidi w:val="0"/>
        <w:adjustRightInd/>
        <w:snapToGrid/>
        <w:spacing w:line="380" w:lineRule="exact"/>
        <w:ind w:firstLine="482" w:firstLineChars="200"/>
        <w:rPr>
          <w:rFonts w:hint="eastAsia" w:ascii="Times New Roman" w:hAnsi="Times New Roman" w:cs="Times New Roman"/>
          <w:b/>
          <w:bCs/>
          <w:sz w:val="24"/>
          <w:szCs w:val="24"/>
          <w:lang w:eastAsia="zh-CN"/>
        </w:rPr>
      </w:pPr>
      <w:r>
        <w:rPr>
          <w:rFonts w:hint="eastAsia" w:ascii="Times New Roman" w:hAnsi="Times New Roman" w:cs="Times New Roman"/>
          <w:b/>
          <w:bCs/>
          <w:sz w:val="24"/>
          <w:szCs w:val="24"/>
          <w:lang w:val="en-US" w:eastAsia="zh-CN"/>
        </w:rPr>
        <w:t>9、</w:t>
      </w:r>
      <w:r>
        <w:rPr>
          <w:rFonts w:ascii="Times New Roman" w:hAnsi="Times New Roman" w:cs="Times New Roman"/>
          <w:b/>
          <w:bCs/>
          <w:sz w:val="24"/>
          <w:szCs w:val="24"/>
        </w:rPr>
        <w:t xml:space="preserve"> 检测</w:t>
      </w:r>
      <w:r>
        <w:rPr>
          <w:rFonts w:hint="eastAsia" w:ascii="Times New Roman" w:hAnsi="Times New Roman" w:cs="Times New Roman"/>
          <w:b/>
          <w:bCs/>
          <w:sz w:val="24"/>
          <w:szCs w:val="24"/>
          <w:lang w:eastAsia="zh-CN"/>
        </w:rPr>
        <w:t>费支付方式：</w:t>
      </w:r>
    </w:p>
    <w:p>
      <w:pPr>
        <w:keepNext w:val="0"/>
        <w:keepLines w:val="0"/>
        <w:pageBreakBefore w:val="0"/>
        <w:kinsoku/>
        <w:wordWrap/>
        <w:overflowPunct/>
        <w:topLinePunct w:val="0"/>
        <w:autoSpaceDE/>
        <w:autoSpaceDN/>
        <w:bidi w:val="0"/>
        <w:adjustRightInd/>
        <w:snapToGrid/>
        <w:spacing w:line="380" w:lineRule="exact"/>
        <w:ind w:left="0" w:leftChars="0" w:firstLine="419" w:firstLineChars="174"/>
        <w:rPr>
          <w:rFonts w:ascii="Times New Roman" w:hAnsi="Times New Roman"/>
          <w:color w:val="FF0000"/>
          <w:sz w:val="36"/>
          <w:szCs w:val="36"/>
        </w:rPr>
      </w:pP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auto"/>
          <w:sz w:val="24"/>
          <w:szCs w:val="24"/>
          <w:lang w:eastAsia="zh-CN"/>
        </w:rPr>
        <w:t>收到</w:t>
      </w:r>
      <w:r>
        <w:rPr>
          <w:rFonts w:hint="eastAsia" w:ascii="Times New Roman" w:hAnsi="Times New Roman" w:cs="Times New Roman"/>
          <w:b/>
          <w:bCs/>
          <w:color w:val="auto"/>
          <w:sz w:val="24"/>
          <w:szCs w:val="24"/>
          <w:lang w:val="en-US" w:eastAsia="zh-CN"/>
        </w:rPr>
        <w:t>2022年6月1日至2023年12月31日的全部检测</w:t>
      </w:r>
      <w:r>
        <w:rPr>
          <w:rFonts w:hint="eastAsia" w:ascii="Times New Roman" w:hAnsi="Times New Roman" w:cs="Times New Roman"/>
          <w:b/>
          <w:bCs/>
          <w:color w:val="auto"/>
          <w:sz w:val="24"/>
          <w:szCs w:val="24"/>
          <w:lang w:eastAsia="zh-CN"/>
        </w:rPr>
        <w:t>报告及发票后，</w:t>
      </w:r>
      <w:r>
        <w:rPr>
          <w:rFonts w:hint="eastAsia" w:ascii="Times New Roman" w:hAnsi="Times New Roman" w:cs="Times New Roman"/>
          <w:b/>
          <w:bCs/>
          <w:color w:val="auto"/>
          <w:sz w:val="24"/>
          <w:szCs w:val="24"/>
          <w:lang w:val="en-US" w:eastAsia="zh-CN"/>
        </w:rPr>
        <w:t>15个工作日内支付合同总金额的60%；收到2024年1月1日至2024年12月31日的全部检测报告及发票后15个工作日内，支付合同总金额的40%。</w:t>
      </w:r>
    </w:p>
    <w:p>
      <w:pPr>
        <w:pStyle w:val="3"/>
        <w:keepNext w:val="0"/>
        <w:keepLines w:val="0"/>
        <w:pageBreakBefore w:val="0"/>
        <w:kinsoku/>
        <w:wordWrap/>
        <w:overflowPunct/>
        <w:topLinePunct w:val="0"/>
        <w:bidi w:val="0"/>
        <w:snapToGrid/>
        <w:spacing w:beforeAutospacing="0" w:afterAutospacing="0" w:line="400" w:lineRule="exact"/>
        <w:jc w:val="both"/>
        <w:textAlignment w:val="auto"/>
        <w:rPr>
          <w:rFonts w:ascii="Times New Roman" w:hAnsi="Times New Roman"/>
          <w:sz w:val="36"/>
          <w:szCs w:val="36"/>
        </w:rPr>
      </w:pPr>
    </w:p>
    <w:p>
      <w:pPr>
        <w:pStyle w:val="3"/>
        <w:keepNext w:val="0"/>
        <w:keepLines w:val="0"/>
        <w:pageBreakBefore w:val="0"/>
        <w:kinsoku/>
        <w:wordWrap/>
        <w:overflowPunct/>
        <w:topLinePunct w:val="0"/>
        <w:bidi w:val="0"/>
        <w:snapToGrid/>
        <w:spacing w:beforeAutospacing="0" w:afterAutospacing="0" w:line="400" w:lineRule="exact"/>
        <w:jc w:val="center"/>
        <w:textAlignment w:val="auto"/>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1"/>
      <w:bookmarkEnd w:id="2"/>
      <w:r>
        <w:rPr>
          <w:rFonts w:hint="eastAsia" w:ascii="Times New Roman" w:hAnsi="Times New Roman"/>
          <w:sz w:val="36"/>
          <w:szCs w:val="36"/>
        </w:rPr>
        <w:t>和要求</w:t>
      </w:r>
    </w:p>
    <w:p>
      <w:pPr>
        <w:keepNext w:val="0"/>
        <w:keepLines w:val="0"/>
        <w:pageBreakBefore w:val="0"/>
        <w:kinsoku/>
        <w:wordWrap/>
        <w:overflowPunct/>
        <w:topLinePunct w:val="0"/>
        <w:bidi w:val="0"/>
        <w:snapToGrid/>
        <w:spacing w:beforeAutospacing="0" w:afterAutospacing="0" w:line="400" w:lineRule="exact"/>
        <w:ind w:firstLine="482" w:firstLineChars="200"/>
        <w:textAlignment w:val="auto"/>
        <w:rPr>
          <w:rFonts w:ascii="宋体" w:hAnsi="宋体" w:cs="宋体"/>
          <w:sz w:val="28"/>
          <w:szCs w:val="28"/>
        </w:rPr>
      </w:pPr>
      <w:r>
        <w:rPr>
          <w:rFonts w:hint="eastAsia" w:ascii="Times New Roman" w:hAnsi="Times New Roman"/>
          <w:b/>
          <w:kern w:val="0"/>
          <w:sz w:val="24"/>
          <w:szCs w:val="24"/>
        </w:rPr>
        <w:t>一、响应文件要求：响应</w:t>
      </w:r>
      <w:r>
        <w:rPr>
          <w:rFonts w:hint="eastAsia" w:ascii="宋体" w:hAnsi="宋体" w:cs="宋体"/>
          <w:b/>
          <w:bCs/>
          <w:sz w:val="24"/>
          <w:szCs w:val="24"/>
        </w:rPr>
        <w:t>文件需具有的资料(仅有但不限于)</w:t>
      </w:r>
      <w:r>
        <w:rPr>
          <w:rFonts w:hint="eastAsia" w:ascii="宋体" w:hAnsi="宋体" w:cs="宋体"/>
          <w:sz w:val="28"/>
          <w:szCs w:val="28"/>
        </w:rPr>
        <w:t xml:space="preserve"> </w:t>
      </w:r>
    </w:p>
    <w:p>
      <w:pPr>
        <w:keepNext w:val="0"/>
        <w:keepLines w:val="0"/>
        <w:pageBreakBefore w:val="0"/>
        <w:kinsoku/>
        <w:wordWrap/>
        <w:overflowPunct/>
        <w:topLinePunct w:val="0"/>
        <w:bidi w:val="0"/>
        <w:snapToGrid/>
        <w:spacing w:beforeAutospacing="0" w:afterAutospacing="0" w:line="400" w:lineRule="exact"/>
        <w:jc w:val="left"/>
        <w:textAlignment w:val="auto"/>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keepNext w:val="0"/>
        <w:keepLines w:val="0"/>
        <w:pageBreakBefore w:val="0"/>
        <w:kinsoku/>
        <w:wordWrap/>
        <w:overflowPunct/>
        <w:topLinePunct w:val="0"/>
        <w:autoSpaceDE w:val="0"/>
        <w:autoSpaceDN w:val="0"/>
        <w:bidi w:val="0"/>
        <w:adjustRightInd w:val="0"/>
        <w:snapToGrid/>
        <w:spacing w:beforeAutospacing="0" w:afterAutospacing="0"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kinsoku/>
        <w:wordWrap/>
        <w:overflowPunct/>
        <w:topLinePunct w:val="0"/>
        <w:autoSpaceDE w:val="0"/>
        <w:autoSpaceDN w:val="0"/>
        <w:bidi w:val="0"/>
        <w:adjustRightInd w:val="0"/>
        <w:snapToGrid/>
        <w:spacing w:beforeAutospacing="0" w:afterAutospacing="0"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keepNext w:val="0"/>
        <w:keepLines w:val="0"/>
        <w:pageBreakBefore w:val="0"/>
        <w:kinsoku/>
        <w:wordWrap/>
        <w:overflowPunct/>
        <w:topLinePunct w:val="0"/>
        <w:autoSpaceDE w:val="0"/>
        <w:autoSpaceDN w:val="0"/>
        <w:bidi w:val="0"/>
        <w:adjustRightInd w:val="0"/>
        <w:snapToGrid/>
        <w:spacing w:beforeAutospacing="0" w:afterAutospacing="0"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kinsoku/>
        <w:wordWrap/>
        <w:overflowPunct/>
        <w:topLinePunct w:val="0"/>
        <w:autoSpaceDE w:val="0"/>
        <w:autoSpaceDN w:val="0"/>
        <w:bidi w:val="0"/>
        <w:adjustRightInd w:val="0"/>
        <w:snapToGrid/>
        <w:spacing w:beforeAutospacing="0" w:afterAutospacing="0"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keepNext w:val="0"/>
        <w:keepLines w:val="0"/>
        <w:pageBreakBefore w:val="0"/>
        <w:kinsoku/>
        <w:wordWrap/>
        <w:overflowPunct/>
        <w:topLinePunct w:val="0"/>
        <w:autoSpaceDE w:val="0"/>
        <w:autoSpaceDN w:val="0"/>
        <w:bidi w:val="0"/>
        <w:adjustRightInd w:val="0"/>
        <w:snapToGrid/>
        <w:spacing w:beforeAutospacing="0" w:afterAutospacing="0"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keepNext w:val="0"/>
        <w:keepLines w:val="0"/>
        <w:pageBreakBefore w:val="0"/>
        <w:kinsoku/>
        <w:wordWrap/>
        <w:overflowPunct/>
        <w:topLinePunct w:val="0"/>
        <w:autoSpaceDE w:val="0"/>
        <w:autoSpaceDN w:val="0"/>
        <w:bidi w:val="0"/>
        <w:adjustRightInd w:val="0"/>
        <w:snapToGrid/>
        <w:spacing w:beforeAutospacing="0" w:afterAutospacing="0"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keepNext w:val="0"/>
        <w:keepLines w:val="0"/>
        <w:pageBreakBefore w:val="0"/>
        <w:kinsoku/>
        <w:wordWrap/>
        <w:overflowPunct/>
        <w:topLinePunct w:val="0"/>
        <w:autoSpaceDE w:val="0"/>
        <w:autoSpaceDN w:val="0"/>
        <w:bidi w:val="0"/>
        <w:adjustRightInd w:val="0"/>
        <w:snapToGrid/>
        <w:spacing w:beforeAutospacing="0" w:afterAutospacing="0"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keepNext w:val="0"/>
        <w:keepLines w:val="0"/>
        <w:pageBreakBefore w:val="0"/>
        <w:kinsoku/>
        <w:wordWrap/>
        <w:overflowPunct/>
        <w:topLinePunct w:val="0"/>
        <w:autoSpaceDE w:val="0"/>
        <w:autoSpaceDN w:val="0"/>
        <w:bidi w:val="0"/>
        <w:adjustRightInd w:val="0"/>
        <w:snapToGrid/>
        <w:spacing w:beforeAutospacing="0" w:afterAutospacing="0"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r>
        <w:rPr>
          <w:rFonts w:hint="eastAsia" w:ascii="Times New Roman" w:hAnsi="Times New Roman"/>
          <w:color w:val="0D0D0D"/>
          <w:kern w:val="0"/>
          <w:sz w:val="24"/>
          <w:lang w:val="zh-CN"/>
        </w:rPr>
        <w:t>。</w:t>
      </w:r>
    </w:p>
    <w:p>
      <w:pPr>
        <w:keepNext w:val="0"/>
        <w:keepLines w:val="0"/>
        <w:pageBreakBefore w:val="0"/>
        <w:kinsoku/>
        <w:wordWrap/>
        <w:overflowPunct/>
        <w:topLinePunct w:val="0"/>
        <w:bidi w:val="0"/>
        <w:snapToGrid/>
        <w:spacing w:beforeAutospacing="0" w:afterAutospacing="0" w:line="400" w:lineRule="exact"/>
        <w:jc w:val="left"/>
        <w:textAlignment w:val="auto"/>
        <w:rPr>
          <w:rFonts w:ascii="Times New Roman" w:hAnsi="Times New Roman"/>
          <w:color w:val="0D0D0D"/>
          <w:kern w:val="0"/>
          <w:sz w:val="24"/>
          <w:lang w:val="zh-CN"/>
        </w:rPr>
      </w:pPr>
      <w:r>
        <w:rPr>
          <w:rFonts w:ascii="Times New Roman" w:hAnsi="Times New Roman"/>
          <w:color w:val="0D0D0D"/>
          <w:kern w:val="0"/>
          <w:sz w:val="24"/>
          <w:lang w:val="zh-CN"/>
        </w:rPr>
        <w:t>7、</w:t>
      </w:r>
      <w:r>
        <w:rPr>
          <w:rFonts w:hint="eastAsia" w:ascii="Times New Roman" w:hAnsi="Times New Roman"/>
          <w:color w:val="0D0D0D"/>
          <w:kern w:val="0"/>
          <w:sz w:val="24"/>
          <w:lang w:val="zh-CN"/>
        </w:rPr>
        <w:t>国家和行业规定的其他资质文件。</w:t>
      </w:r>
    </w:p>
    <w:p>
      <w:pPr>
        <w:keepNext w:val="0"/>
        <w:keepLines w:val="0"/>
        <w:pageBreakBefore w:val="0"/>
        <w:kinsoku/>
        <w:wordWrap/>
        <w:overflowPunct/>
        <w:topLinePunct w:val="0"/>
        <w:bidi w:val="0"/>
        <w:snapToGrid/>
        <w:spacing w:beforeAutospacing="0" w:afterAutospacing="0" w:line="400" w:lineRule="exact"/>
        <w:jc w:val="left"/>
        <w:textAlignment w:val="auto"/>
        <w:rPr>
          <w:rFonts w:ascii="Times New Roman" w:hAnsi="Times New Roman"/>
          <w:b/>
          <w:kern w:val="0"/>
          <w:sz w:val="24"/>
        </w:rPr>
      </w:pPr>
    </w:p>
    <w:p>
      <w:pPr>
        <w:keepNext w:val="0"/>
        <w:keepLines w:val="0"/>
        <w:pageBreakBefore w:val="0"/>
        <w:kinsoku/>
        <w:wordWrap/>
        <w:overflowPunct/>
        <w:topLinePunct w:val="0"/>
        <w:bidi w:val="0"/>
        <w:snapToGrid/>
        <w:spacing w:beforeAutospacing="0" w:afterAutospacing="0" w:line="400" w:lineRule="exact"/>
        <w:jc w:val="left"/>
        <w:textAlignment w:val="auto"/>
        <w:rPr>
          <w:rFonts w:ascii="Times New Roman" w:hAnsi="Times New Roman"/>
          <w:b/>
          <w:kern w:val="0"/>
          <w:sz w:val="24"/>
        </w:rPr>
      </w:pPr>
      <w:r>
        <w:rPr>
          <w:rFonts w:hint="eastAsia" w:ascii="Times New Roman" w:hAnsi="Times New Roman"/>
          <w:b/>
          <w:kern w:val="0"/>
          <w:sz w:val="24"/>
        </w:rPr>
        <w:t>二、响应文件格式</w:t>
      </w:r>
    </w:p>
    <w:p>
      <w:pPr>
        <w:keepNext w:val="0"/>
        <w:keepLines w:val="0"/>
        <w:pageBreakBefore w:val="0"/>
        <w:widowControl/>
        <w:kinsoku/>
        <w:wordWrap/>
        <w:overflowPunct/>
        <w:topLinePunct w:val="0"/>
        <w:bidi w:val="0"/>
        <w:snapToGrid/>
        <w:spacing w:beforeAutospacing="0" w:afterAutospacing="0" w:line="400" w:lineRule="exact"/>
        <w:ind w:firstLine="422" w:firstLineChars="176"/>
        <w:jc w:val="left"/>
        <w:textAlignment w:val="auto"/>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keepNext w:val="0"/>
        <w:keepLines w:val="0"/>
        <w:pageBreakBefore w:val="0"/>
        <w:widowControl/>
        <w:kinsoku/>
        <w:wordWrap/>
        <w:overflowPunct/>
        <w:topLinePunct w:val="0"/>
        <w:bidi w:val="0"/>
        <w:snapToGrid/>
        <w:spacing w:beforeAutospacing="0" w:afterAutospacing="0" w:line="400" w:lineRule="exact"/>
        <w:ind w:firstLine="422" w:firstLineChars="176"/>
        <w:jc w:val="left"/>
        <w:textAlignment w:val="auto"/>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keepNext w:val="0"/>
        <w:keepLines w:val="0"/>
        <w:pageBreakBefore w:val="0"/>
        <w:widowControl/>
        <w:kinsoku/>
        <w:wordWrap/>
        <w:overflowPunct/>
        <w:topLinePunct w:val="0"/>
        <w:bidi w:val="0"/>
        <w:snapToGrid/>
        <w:spacing w:beforeAutospacing="0" w:afterAutospacing="0" w:line="400" w:lineRule="exact"/>
        <w:ind w:firstLine="422" w:firstLineChars="176"/>
        <w:jc w:val="left"/>
        <w:textAlignment w:val="auto"/>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7" w:name="_Toc33709793"/>
      <w:bookmarkStart w:id="8" w:name="_Toc34051805"/>
      <w:bookmarkStart w:id="9" w:name="_Toc40447267"/>
      <w:bookmarkStart w:id="10" w:name="_Toc52036326"/>
      <w:bookmarkStart w:id="11" w:name="_Toc33698132"/>
      <w:r>
        <w:rPr>
          <w:rFonts w:ascii="Times New Roman" w:hAnsi="Times New Roman" w:eastAsia="黑体"/>
          <w:b/>
          <w:kern w:val="0"/>
          <w:sz w:val="32"/>
          <w:szCs w:val="32"/>
        </w:rPr>
        <w:t>一、封面</w:t>
      </w:r>
      <w:bookmarkEnd w:id="7"/>
      <w:bookmarkEnd w:id="8"/>
      <w:bookmarkEnd w:id="9"/>
      <w:bookmarkEnd w:id="10"/>
      <w:bookmarkEnd w:id="11"/>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2" w:name="_Toc33709794"/>
      <w:bookmarkStart w:id="13" w:name="_Toc34051806"/>
      <w:bookmarkStart w:id="14" w:name="_Toc40447268"/>
      <w:bookmarkStart w:id="15" w:name="_Toc52036327"/>
      <w:bookmarkStart w:id="16" w:name="_Toc33698133"/>
      <w:r>
        <w:rPr>
          <w:rFonts w:ascii="Times New Roman" w:hAnsi="Times New Roman" w:eastAsia="黑体"/>
          <w:b/>
          <w:kern w:val="0"/>
          <w:sz w:val="32"/>
          <w:szCs w:val="32"/>
        </w:rPr>
        <w:t>二、法定代表人/单位负责人授权书</w:t>
      </w:r>
      <w:bookmarkEnd w:id="12"/>
      <w:bookmarkEnd w:id="13"/>
      <w:bookmarkEnd w:id="14"/>
      <w:bookmarkEnd w:id="15"/>
      <w:bookmarkEnd w:id="1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u w:val="single"/>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u w:val="single"/>
        </w:rPr>
      </w:pPr>
      <w:r>
        <w:rPr>
          <w:rFonts w:hint="eastAsia" w:ascii="Times New Roman" w:hAnsi="Times New Roman"/>
          <w:kern w:val="0"/>
          <w:sz w:val="24"/>
          <w:szCs w:val="20"/>
          <w:u w:val="none"/>
          <w:lang w:val="en-US" w:eastAsia="zh-CN"/>
        </w:rPr>
        <w:t>联系电话：</w:t>
      </w:r>
      <w:r>
        <w:rPr>
          <w:rFonts w:hint="eastAsia" w:ascii="Times New Roman" w:hAnsi="Times New Roman"/>
          <w:kern w:val="0"/>
          <w:sz w:val="24"/>
          <w:szCs w:val="20"/>
          <w:u w:val="single"/>
          <w:lang w:val="en-US" w:eastAsia="zh-CN"/>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w:t>
      </w:r>
      <w:r>
        <w:rPr>
          <w:rFonts w:hint="eastAsia" w:ascii="Times New Roman" w:hAnsi="Times New Roman"/>
          <w:b/>
          <w:szCs w:val="21"/>
          <w:lang w:eastAsia="zh-CN"/>
        </w:rPr>
        <w:t>、</w:t>
      </w:r>
      <w:r>
        <w:rPr>
          <w:rFonts w:ascii="Times New Roman" w:hAnsi="Times New Roman"/>
          <w:b/>
          <w:szCs w:val="21"/>
        </w:rPr>
        <w:t>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w:t>
      </w:r>
      <w:r>
        <w:rPr>
          <w:rFonts w:hint="eastAsia" w:ascii="Times New Roman" w:hAnsi="Times New Roman"/>
          <w:b/>
          <w:szCs w:val="21"/>
          <w:lang w:eastAsia="zh-CN"/>
        </w:rPr>
        <w:t>、</w:t>
      </w:r>
      <w:r>
        <w:rPr>
          <w:rFonts w:ascii="Times New Roman" w:hAnsi="Times New Roman"/>
          <w:b/>
          <w:szCs w:val="21"/>
        </w:rPr>
        <w:t>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w:t>
      </w:r>
      <w:r>
        <w:rPr>
          <w:rFonts w:hint="eastAsia" w:ascii="Times New Roman" w:hAnsi="Times New Roman"/>
          <w:b/>
          <w:szCs w:val="21"/>
          <w:lang w:eastAsia="zh-CN"/>
        </w:rPr>
        <w:t>、</w:t>
      </w:r>
      <w:r>
        <w:rPr>
          <w:rFonts w:ascii="Times New Roman" w:hAnsi="Times New Roman"/>
          <w:b/>
          <w:szCs w:val="21"/>
        </w:rPr>
        <w:t>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w:t>
      </w:r>
      <w:r>
        <w:rPr>
          <w:rFonts w:hint="eastAsia" w:ascii="Times New Roman" w:hAnsi="Times New Roman"/>
          <w:b/>
          <w:szCs w:val="21"/>
          <w:lang w:eastAsia="zh-CN"/>
        </w:rPr>
        <w:t>、</w:t>
      </w:r>
      <w:r>
        <w:rPr>
          <w:rFonts w:ascii="Times New Roman" w:hAnsi="Times New Roman"/>
          <w:b/>
          <w:szCs w:val="21"/>
        </w:rPr>
        <w:t>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7" w:name="_Toc52036328"/>
      <w:bookmarkStart w:id="18" w:name="_Toc33709795"/>
      <w:bookmarkStart w:id="19" w:name="_Toc33698134"/>
      <w:bookmarkStart w:id="20" w:name="_Toc40447269"/>
      <w:bookmarkStart w:id="21" w:name="_Toc34051807"/>
      <w:r>
        <w:rPr>
          <w:rFonts w:ascii="Times New Roman" w:hAnsi="Times New Roman" w:eastAsia="黑体"/>
          <w:b/>
          <w:kern w:val="0"/>
          <w:sz w:val="32"/>
          <w:szCs w:val="32"/>
        </w:rPr>
        <w:t>三、承诺函</w:t>
      </w:r>
      <w:bookmarkEnd w:id="17"/>
      <w:bookmarkEnd w:id="18"/>
      <w:bookmarkEnd w:id="19"/>
      <w:bookmarkEnd w:id="20"/>
      <w:bookmarkEnd w:id="21"/>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w:t>
      </w:r>
      <w:r>
        <w:rPr>
          <w:rFonts w:hint="eastAsia" w:ascii="Times New Roman" w:hAnsi="Times New Roman"/>
          <w:kern w:val="0"/>
          <w:sz w:val="24"/>
          <w:szCs w:val="20"/>
        </w:rPr>
        <w:t>/单位负责人</w:t>
      </w:r>
      <w:r>
        <w:rPr>
          <w:rFonts w:ascii="Times New Roman" w:hAnsi="Times New Roman"/>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2" w:name="_Toc33698135"/>
      <w:bookmarkStart w:id="23" w:name="_Toc34051808"/>
      <w:bookmarkStart w:id="24" w:name="_Toc40447270"/>
      <w:bookmarkStart w:id="25" w:name="_Toc52036329"/>
      <w:bookmarkStart w:id="26" w:name="_Toc33709796"/>
      <w:r>
        <w:rPr>
          <w:rFonts w:ascii="Times New Roman" w:hAnsi="Times New Roman" w:eastAsia="黑体"/>
          <w:b/>
          <w:kern w:val="0"/>
          <w:sz w:val="32"/>
          <w:szCs w:val="32"/>
        </w:rPr>
        <w:t>四、比选申请人、资质性</w:t>
      </w:r>
      <w:r>
        <w:rPr>
          <w:rFonts w:hint="eastAsia" w:ascii="Times New Roman" w:hAnsi="Times New Roman" w:eastAsia="黑体"/>
          <w:b/>
          <w:kern w:val="0"/>
          <w:sz w:val="32"/>
          <w:szCs w:val="32"/>
          <w:lang w:eastAsia="zh-CN"/>
        </w:rPr>
        <w:t>文件</w:t>
      </w:r>
      <w:r>
        <w:rPr>
          <w:rFonts w:ascii="Times New Roman" w:hAnsi="Times New Roman" w:eastAsia="黑体"/>
          <w:b/>
          <w:kern w:val="0"/>
          <w:sz w:val="32"/>
          <w:szCs w:val="32"/>
        </w:rPr>
        <w:t>及其他类似效力要求的相关证明材料</w:t>
      </w:r>
      <w:bookmarkEnd w:id="22"/>
      <w:bookmarkEnd w:id="23"/>
      <w:bookmarkEnd w:id="24"/>
      <w:bookmarkEnd w:id="25"/>
      <w:bookmarkEnd w:id="26"/>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w:t>
      </w:r>
      <w:r>
        <w:rPr>
          <w:rFonts w:hint="eastAsia" w:ascii="Times New Roman" w:hAnsi="Times New Roman"/>
          <w:kern w:val="0"/>
          <w:sz w:val="24"/>
          <w:szCs w:val="20"/>
        </w:rPr>
        <w:t>/单位负责人</w:t>
      </w:r>
      <w:r>
        <w:rPr>
          <w:rFonts w:ascii="Times New Roman" w:hAnsi="Times New Roman"/>
          <w:kern w:val="0"/>
          <w:sz w:val="24"/>
          <w:szCs w:val="20"/>
        </w:rPr>
        <w:t>/</w:t>
      </w:r>
      <w:r>
        <w:rPr>
          <w:rFonts w:hint="eastAsia" w:ascii="Times New Roman" w:hAnsi="Times New Roman"/>
          <w:kern w:val="0"/>
          <w:sz w:val="24"/>
          <w:szCs w:val="20"/>
          <w:lang w:val="en-US" w:eastAsia="zh-CN"/>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w:t>
      </w:r>
      <w:r>
        <w:rPr>
          <w:rFonts w:hint="eastAsia" w:ascii="Times New Roman" w:hAnsi="Times New Roman"/>
          <w:kern w:val="0"/>
          <w:sz w:val="24"/>
          <w:szCs w:val="20"/>
        </w:rPr>
        <w:t>/单位负责人</w:t>
      </w:r>
      <w:r>
        <w:rPr>
          <w:rFonts w:ascii="Times New Roman" w:hAnsi="Times New Roman"/>
          <w:kern w:val="0"/>
          <w:sz w:val="24"/>
          <w:szCs w:val="20"/>
        </w:rPr>
        <w:t>/</w:t>
      </w:r>
      <w:r>
        <w:rPr>
          <w:rFonts w:hint="eastAsia" w:ascii="Times New Roman" w:hAnsi="Times New Roman"/>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w:t>
      </w:r>
      <w:r>
        <w:rPr>
          <w:rFonts w:hint="eastAsia" w:ascii="Times New Roman" w:hAnsi="Times New Roman"/>
          <w:kern w:val="0"/>
          <w:sz w:val="24"/>
          <w:szCs w:val="20"/>
        </w:rPr>
        <w:t>/单位负责人</w:t>
      </w:r>
      <w:r>
        <w:rPr>
          <w:rFonts w:ascii="Times New Roman" w:hAnsi="Times New Roman"/>
          <w:kern w:val="0"/>
          <w:sz w:val="24"/>
          <w:szCs w:val="20"/>
        </w:rPr>
        <w:t>/</w:t>
      </w:r>
      <w:r>
        <w:rPr>
          <w:rFonts w:hint="eastAsia" w:ascii="Times New Roman" w:hAnsi="Times New Roman"/>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762"/>
        <w:gridCol w:w="2762"/>
        <w:gridCol w:w="1375"/>
        <w:gridCol w:w="13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w:t>
      </w:r>
      <w:r>
        <w:rPr>
          <w:rFonts w:hint="eastAsia" w:ascii="Times New Roman" w:hAnsi="Times New Roman"/>
          <w:kern w:val="0"/>
          <w:sz w:val="24"/>
          <w:szCs w:val="20"/>
        </w:rPr>
        <w:t>/单位负责人</w:t>
      </w:r>
      <w:r>
        <w:rPr>
          <w:rFonts w:ascii="Times New Roman" w:hAnsi="Times New Roman"/>
          <w:kern w:val="0"/>
          <w:sz w:val="24"/>
          <w:szCs w:val="20"/>
        </w:rPr>
        <w:t>/</w:t>
      </w:r>
      <w:r>
        <w:rPr>
          <w:rFonts w:hint="eastAsia" w:ascii="Times New Roman" w:hAnsi="Times New Roman"/>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w:t>
      </w:r>
      <w:r>
        <w:rPr>
          <w:rFonts w:hint="eastAsia" w:ascii="Times New Roman" w:hAnsi="Times New Roman"/>
          <w:kern w:val="0"/>
          <w:sz w:val="24"/>
          <w:szCs w:val="20"/>
        </w:rPr>
        <w:t>/单位负责人</w:t>
      </w:r>
      <w:r>
        <w:rPr>
          <w:rFonts w:ascii="Times New Roman" w:hAnsi="Times New Roman"/>
          <w:kern w:val="0"/>
          <w:sz w:val="24"/>
          <w:szCs w:val="20"/>
        </w:rPr>
        <w:t>/</w:t>
      </w:r>
      <w:r>
        <w:rPr>
          <w:rFonts w:hint="eastAsia" w:ascii="Times New Roman" w:hAnsi="Times New Roman"/>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7" w:name="_Toc436385992"/>
      <w:bookmarkStart w:id="28" w:name="_Toc307564880"/>
      <w:bookmarkStart w:id="29" w:name="_Toc436820890"/>
      <w:bookmarkStart w:id="30" w:name="_Toc436410129"/>
      <w:bookmarkStart w:id="31" w:name="_Toc436404120"/>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w:t>
      </w:r>
      <w:r>
        <w:rPr>
          <w:rFonts w:hint="eastAsia" w:ascii="Times New Roman" w:hAnsi="Times New Roman"/>
          <w:kern w:val="0"/>
          <w:sz w:val="24"/>
          <w:szCs w:val="20"/>
        </w:rPr>
        <w:t>/单位负责人</w:t>
      </w:r>
      <w:r>
        <w:rPr>
          <w:rFonts w:ascii="Times New Roman" w:hAnsi="Times New Roman"/>
          <w:kern w:val="0"/>
          <w:sz w:val="24"/>
          <w:szCs w:val="20"/>
        </w:rPr>
        <w:t>/</w:t>
      </w:r>
      <w:r>
        <w:rPr>
          <w:rFonts w:hint="eastAsia" w:ascii="Times New Roman" w:hAnsi="Times New Roman"/>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7183"/>
      <w:bookmarkStart w:id="33" w:name="_Toc503987293"/>
      <w:bookmarkStart w:id="34" w:name="_Toc503986971"/>
      <w:bookmarkStart w:id="35" w:name="_Toc503987104"/>
      <w:bookmarkStart w:id="36" w:name="_Toc503986838"/>
      <w:bookmarkStart w:id="37"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38" w:name="_Toc33698136"/>
      <w:bookmarkStart w:id="39" w:name="_Toc34051809"/>
      <w:bookmarkStart w:id="40" w:name="_Toc40447271"/>
      <w:bookmarkStart w:id="41" w:name="_Toc52036330"/>
      <w:bookmarkStart w:id="42" w:name="_Toc33709797"/>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hint="eastAsia" w:ascii="Times New Roman" w:hAnsi="Times New Roman"/>
          <w:color w:val="000000"/>
          <w:kern w:val="0"/>
          <w:sz w:val="24"/>
          <w:szCs w:val="20"/>
        </w:rPr>
        <w:t>/单位负责人</w:t>
      </w:r>
      <w:r>
        <w:rPr>
          <w:rFonts w:ascii="Times New Roman" w:hAnsi="Times New Roman"/>
          <w:color w:val="000000"/>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3" w:name="_Toc52036331"/>
      <w:bookmarkStart w:id="44" w:name="_Toc34051810"/>
      <w:bookmarkStart w:id="45" w:name="_Toc40447272"/>
      <w:bookmarkStart w:id="46" w:name="_Toc33698137"/>
      <w:bookmarkStart w:id="47" w:name="_Toc33709798"/>
      <w:r>
        <w:rPr>
          <w:rFonts w:ascii="Times New Roman" w:hAnsi="Times New Roman" w:eastAsia="黑体"/>
          <w:b/>
          <w:kern w:val="0"/>
          <w:sz w:val="32"/>
          <w:szCs w:val="32"/>
        </w:rPr>
        <w:t>九、知识产权承诺函</w:t>
      </w:r>
      <w:bookmarkEnd w:id="43"/>
      <w:bookmarkEnd w:id="44"/>
      <w:bookmarkEnd w:id="45"/>
      <w:bookmarkEnd w:id="46"/>
      <w:bookmarkEnd w:id="47"/>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hint="eastAsia" w:ascii="Times New Roman" w:hAnsi="Times New Roman"/>
          <w:color w:val="000000"/>
          <w:kern w:val="0"/>
          <w:sz w:val="24"/>
          <w:szCs w:val="20"/>
        </w:rPr>
        <w:t>/单位负责人</w:t>
      </w:r>
      <w:r>
        <w:rPr>
          <w:rFonts w:ascii="Times New Roman" w:hAnsi="Times New Roman"/>
          <w:color w:val="000000"/>
          <w:kern w:val="0"/>
          <w:sz w:val="24"/>
          <w:szCs w:val="20"/>
        </w:rPr>
        <w:t>/授权代表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pStyle w:val="8"/>
        <w:spacing w:line="500" w:lineRule="exact"/>
        <w:ind w:left="0" w:leftChars="0"/>
        <w:jc w:val="center"/>
        <w:rPr>
          <w:rFonts w:hint="eastAsia" w:ascii="宋体" w:hAnsi="宋体"/>
          <w:b/>
          <w:color w:val="000000"/>
          <w:sz w:val="28"/>
          <w:szCs w:val="28"/>
        </w:rPr>
      </w:pPr>
      <w:r>
        <w:rPr>
          <w:rFonts w:hint="eastAsia" w:ascii="Times New Roman" w:hAnsi="Times New Roman"/>
          <w:b/>
          <w:sz w:val="28"/>
          <w:szCs w:val="28"/>
        </w:rPr>
        <w:t>十</w:t>
      </w:r>
      <w:r>
        <w:rPr>
          <w:rFonts w:ascii="Times New Roman" w:hAnsi="Times New Roman"/>
          <w:b/>
          <w:sz w:val="28"/>
          <w:szCs w:val="28"/>
        </w:rPr>
        <w:t>、</w:t>
      </w:r>
      <w:r>
        <w:rPr>
          <w:rFonts w:hint="eastAsia" w:ascii="宋体" w:hAnsi="宋体"/>
          <w:b/>
          <w:color w:val="000000"/>
          <w:sz w:val="28"/>
          <w:szCs w:val="28"/>
        </w:rPr>
        <w:t>报价函</w:t>
      </w:r>
    </w:p>
    <w:p>
      <w:pPr>
        <w:spacing w:line="480" w:lineRule="auto"/>
        <w:jc w:val="left"/>
        <w:rPr>
          <w:rFonts w:hint="eastAsia" w:ascii="宋体" w:hAnsi="宋体"/>
          <w:color w:val="000000"/>
          <w:sz w:val="24"/>
          <w:szCs w:val="24"/>
        </w:rPr>
      </w:pPr>
      <w:r>
        <w:rPr>
          <w:rFonts w:hint="eastAsia" w:ascii="宋体" w:hAnsi="宋体"/>
          <w:color w:val="000000"/>
          <w:sz w:val="24"/>
          <w:szCs w:val="24"/>
        </w:rPr>
        <w:t>致：</w:t>
      </w:r>
      <w:r>
        <w:rPr>
          <w:rFonts w:hint="eastAsia" w:ascii="宋体" w:hAnsi="宋体"/>
          <w:color w:val="000000"/>
          <w:sz w:val="24"/>
          <w:szCs w:val="24"/>
          <w:u w:val="single"/>
        </w:rPr>
        <w:t>三台县人民医院</w:t>
      </w:r>
    </w:p>
    <w:p>
      <w:pPr>
        <w:spacing w:line="480" w:lineRule="auto"/>
        <w:ind w:firstLine="42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cs="宋体"/>
          <w:color w:val="000000"/>
          <w:sz w:val="24"/>
          <w:szCs w:val="24"/>
        </w:rPr>
        <w:t>我公司全面研究了</w:t>
      </w:r>
      <w:r>
        <w:rPr>
          <w:rFonts w:hint="eastAsia" w:ascii="宋体" w:hAnsi="宋体"/>
          <w:b/>
          <w:color w:val="000000"/>
          <w:sz w:val="24"/>
          <w:szCs w:val="24"/>
          <w:u w:val="single"/>
        </w:rPr>
        <w:t>三台县</w:t>
      </w:r>
      <w:r>
        <w:rPr>
          <w:rFonts w:hint="eastAsia" w:ascii="宋体" w:hAnsi="宋体"/>
          <w:b/>
          <w:color w:val="000000"/>
          <w:sz w:val="24"/>
          <w:szCs w:val="24"/>
          <w:u w:val="single"/>
          <w:lang w:eastAsia="zh-CN"/>
        </w:rPr>
        <w:t>人民医院关于污水第三方检测服务</w:t>
      </w:r>
      <w:r>
        <w:rPr>
          <w:rFonts w:hint="eastAsia" w:ascii="宋体" w:hAnsi="宋体" w:cs="宋体"/>
          <w:color w:val="000000"/>
          <w:sz w:val="24"/>
          <w:szCs w:val="24"/>
        </w:rPr>
        <w:t>的</w:t>
      </w:r>
      <w:r>
        <w:rPr>
          <w:rFonts w:hint="eastAsia" w:ascii="宋体" w:hAnsi="宋体" w:cs="宋体"/>
          <w:color w:val="000000"/>
          <w:sz w:val="24"/>
          <w:szCs w:val="24"/>
          <w:lang w:eastAsia="zh-CN"/>
        </w:rPr>
        <w:t>比选</w:t>
      </w:r>
      <w:r>
        <w:rPr>
          <w:rFonts w:hint="eastAsia" w:ascii="宋体" w:hAnsi="宋体" w:cs="宋体"/>
          <w:color w:val="000000"/>
          <w:sz w:val="24"/>
          <w:szCs w:val="24"/>
        </w:rPr>
        <w:t>文件及相关</w:t>
      </w:r>
      <w:r>
        <w:rPr>
          <w:rFonts w:hint="eastAsia" w:ascii="宋体" w:hAnsi="宋体" w:cs="宋体"/>
          <w:color w:val="000000"/>
          <w:sz w:val="24"/>
          <w:szCs w:val="24"/>
          <w:lang w:eastAsia="zh-CN"/>
        </w:rPr>
        <w:t>要求</w:t>
      </w:r>
      <w:r>
        <w:rPr>
          <w:rFonts w:hint="eastAsia" w:ascii="宋体" w:hAnsi="宋体" w:cs="宋体"/>
          <w:color w:val="000000"/>
          <w:sz w:val="24"/>
          <w:szCs w:val="24"/>
        </w:rPr>
        <w:t>，我们将遵照</w:t>
      </w:r>
      <w:r>
        <w:rPr>
          <w:rFonts w:hint="eastAsia" w:ascii="宋体" w:hAnsi="宋体" w:cs="宋体"/>
          <w:color w:val="000000"/>
          <w:sz w:val="24"/>
          <w:szCs w:val="24"/>
          <w:lang w:eastAsia="zh-CN"/>
        </w:rPr>
        <w:t>比选</w:t>
      </w:r>
      <w:r>
        <w:rPr>
          <w:rFonts w:hint="eastAsia" w:ascii="宋体" w:hAnsi="宋体" w:cs="宋体"/>
          <w:color w:val="000000"/>
          <w:sz w:val="24"/>
          <w:szCs w:val="24"/>
        </w:rPr>
        <w:t>文件的要求承担相应的全部工作。</w:t>
      </w:r>
    </w:p>
    <w:p>
      <w:pPr>
        <w:spacing w:line="480" w:lineRule="auto"/>
        <w:ind w:firstLine="42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en-US" w:eastAsia="zh-CN"/>
        </w:rPr>
        <w:t>.</w:t>
      </w:r>
      <w:r>
        <w:rPr>
          <w:rFonts w:hint="eastAsia" w:ascii="宋体" w:hAnsi="宋体" w:cs="宋体"/>
          <w:color w:val="000000"/>
          <w:sz w:val="24"/>
          <w:szCs w:val="24"/>
        </w:rPr>
        <w:t>我们完全同意供应商选择</w:t>
      </w:r>
      <w:r>
        <w:rPr>
          <w:rFonts w:hint="eastAsia" w:ascii="宋体" w:hAnsi="宋体" w:cs="宋体"/>
          <w:color w:val="000000"/>
          <w:sz w:val="24"/>
          <w:szCs w:val="24"/>
          <w:lang w:eastAsia="zh-CN"/>
        </w:rPr>
        <w:t>的评标</w:t>
      </w:r>
      <w:r>
        <w:rPr>
          <w:rFonts w:hint="eastAsia" w:ascii="宋体" w:hAnsi="宋体" w:cs="宋体"/>
          <w:color w:val="000000"/>
          <w:sz w:val="24"/>
          <w:szCs w:val="24"/>
        </w:rPr>
        <w:t>办法，并同意自行承担为</w:t>
      </w:r>
      <w:r>
        <w:rPr>
          <w:rFonts w:hint="eastAsia" w:ascii="宋体" w:hAnsi="宋体" w:cs="宋体"/>
          <w:color w:val="000000"/>
          <w:sz w:val="24"/>
          <w:szCs w:val="24"/>
          <w:lang w:eastAsia="zh-CN"/>
        </w:rPr>
        <w:t>本次比选</w:t>
      </w:r>
      <w:r>
        <w:rPr>
          <w:rFonts w:hint="eastAsia" w:ascii="宋体" w:hAnsi="宋体" w:cs="宋体"/>
          <w:color w:val="000000"/>
          <w:sz w:val="24"/>
          <w:szCs w:val="24"/>
        </w:rPr>
        <w:t>所发生的一切费用。</w:t>
      </w:r>
    </w:p>
    <w:p>
      <w:pPr>
        <w:spacing w:line="480" w:lineRule="auto"/>
        <w:ind w:firstLine="42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w:t>
      </w:r>
      <w:r>
        <w:rPr>
          <w:rFonts w:hint="eastAsia" w:ascii="宋体" w:hAnsi="宋体" w:cs="宋体"/>
          <w:color w:val="000000"/>
          <w:sz w:val="24"/>
          <w:szCs w:val="24"/>
        </w:rPr>
        <w:t>我们严格遵守本投标报价函的各项承诺。投标报价函始终将对我方具有约束力，并随时接受中标。</w:t>
      </w:r>
    </w:p>
    <w:p>
      <w:pPr>
        <w:spacing w:line="480" w:lineRule="auto"/>
        <w:ind w:firstLine="420"/>
        <w:rPr>
          <w:rFonts w:hint="eastAsia" w:ascii="宋体" w:hAnsi="宋体" w:cs="宋体"/>
          <w:color w:val="000000"/>
          <w:sz w:val="24"/>
          <w:szCs w:val="24"/>
        </w:rPr>
      </w:pPr>
      <w:r>
        <w:rPr>
          <w:rFonts w:hint="eastAsia" w:ascii="宋体" w:hAnsi="宋体" w:cs="宋体"/>
          <w:color w:val="000000"/>
          <w:sz w:val="24"/>
          <w:szCs w:val="24"/>
        </w:rPr>
        <w:t>4</w:t>
      </w:r>
      <w:r>
        <w:rPr>
          <w:rFonts w:hint="eastAsia" w:ascii="宋体" w:hAnsi="宋体" w:cs="宋体"/>
          <w:color w:val="000000"/>
          <w:sz w:val="24"/>
          <w:szCs w:val="24"/>
          <w:lang w:val="en-US" w:eastAsia="zh-CN"/>
        </w:rPr>
        <w:t>.</w:t>
      </w:r>
      <w:r>
        <w:rPr>
          <w:rFonts w:hint="eastAsia" w:ascii="宋体" w:hAnsi="宋体" w:cs="宋体"/>
          <w:color w:val="000000"/>
          <w:sz w:val="24"/>
          <w:szCs w:val="24"/>
        </w:rPr>
        <w:t>在合同协议书正式签署生效之前，本投标报价函连同你单位的中标</w:t>
      </w:r>
      <w:r>
        <w:rPr>
          <w:rFonts w:hint="eastAsia" w:ascii="宋体" w:hAnsi="宋体" w:cs="宋体"/>
          <w:color w:val="000000"/>
          <w:sz w:val="24"/>
          <w:szCs w:val="24"/>
          <w:lang w:eastAsia="zh-CN"/>
        </w:rPr>
        <w:t>结果</w:t>
      </w:r>
      <w:r>
        <w:rPr>
          <w:rFonts w:hint="eastAsia" w:ascii="宋体" w:hAnsi="宋体" w:cs="宋体"/>
          <w:color w:val="000000"/>
          <w:sz w:val="24"/>
          <w:szCs w:val="24"/>
        </w:rPr>
        <w:t>将成我们双方之间共同遵守的条件，对双方具有约束力。</w:t>
      </w:r>
    </w:p>
    <w:p>
      <w:pPr>
        <w:spacing w:line="480" w:lineRule="auto"/>
        <w:ind w:firstLine="420"/>
        <w:rPr>
          <w:rFonts w:hint="eastAsia"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lang w:val="en-US" w:eastAsia="zh-CN"/>
        </w:rPr>
        <w:t>.</w:t>
      </w:r>
      <w:r>
        <w:rPr>
          <w:rFonts w:hint="eastAsia" w:ascii="宋体" w:hAnsi="宋体" w:cs="宋体"/>
          <w:color w:val="000000"/>
          <w:sz w:val="24"/>
          <w:szCs w:val="24"/>
        </w:rPr>
        <w:t>我公司报价为</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r>
        <w:rPr>
          <w:rFonts w:hint="eastAsia" w:ascii="宋体" w:hAnsi="宋体"/>
          <w:bCs/>
          <w:sz w:val="24"/>
          <w:szCs w:val="24"/>
        </w:rPr>
        <w:t>该报价包含包括成本、利润、风险费、</w:t>
      </w:r>
      <w:r>
        <w:rPr>
          <w:rFonts w:hint="eastAsia" w:ascii="宋体" w:hAnsi="宋体"/>
          <w:bCs/>
          <w:sz w:val="24"/>
          <w:szCs w:val="24"/>
          <w:lang w:eastAsia="zh-CN"/>
        </w:rPr>
        <w:t>差旅费、人工费、</w:t>
      </w:r>
      <w:r>
        <w:rPr>
          <w:rFonts w:hint="eastAsia" w:ascii="宋体" w:hAnsi="宋体"/>
          <w:bCs/>
          <w:sz w:val="24"/>
          <w:szCs w:val="24"/>
        </w:rPr>
        <w:t>税金等</w:t>
      </w:r>
      <w:r>
        <w:rPr>
          <w:rFonts w:hint="eastAsia" w:ascii="宋体" w:hAnsi="宋体"/>
          <w:bCs/>
          <w:sz w:val="24"/>
          <w:szCs w:val="24"/>
          <w:lang w:eastAsia="zh-CN"/>
        </w:rPr>
        <w:t>完成本项目所有费用</w:t>
      </w:r>
      <w:r>
        <w:rPr>
          <w:rFonts w:hint="eastAsia" w:ascii="宋体" w:hAnsi="宋体"/>
          <w:bCs/>
          <w:sz w:val="24"/>
          <w:szCs w:val="24"/>
        </w:rPr>
        <w:t>。</w:t>
      </w:r>
    </w:p>
    <w:p>
      <w:pPr>
        <w:spacing w:line="360" w:lineRule="auto"/>
        <w:ind w:firstLine="480"/>
        <w:jc w:val="left"/>
        <w:rPr>
          <w:rFonts w:ascii="宋体" w:hAnsi="宋体"/>
          <w:color w:val="000000"/>
          <w:sz w:val="22"/>
          <w:szCs w:val="22"/>
        </w:rPr>
      </w:pPr>
    </w:p>
    <w:p>
      <w:pPr>
        <w:spacing w:line="360" w:lineRule="auto"/>
        <w:ind w:firstLine="816" w:firstLineChars="371"/>
        <w:jc w:val="left"/>
        <w:rPr>
          <w:rFonts w:hint="eastAsia" w:ascii="宋体" w:hAnsi="宋体"/>
          <w:color w:val="000000"/>
          <w:sz w:val="22"/>
          <w:szCs w:val="22"/>
        </w:rPr>
      </w:pPr>
      <w:r>
        <w:rPr>
          <w:rFonts w:hint="eastAsia" w:ascii="宋体" w:hAnsi="宋体"/>
          <w:color w:val="000000"/>
          <w:sz w:val="22"/>
          <w:szCs w:val="22"/>
        </w:rPr>
        <w:t xml:space="preserve"> </w:t>
      </w:r>
    </w:p>
    <w:p>
      <w:pPr>
        <w:spacing w:line="360" w:lineRule="auto"/>
        <w:ind w:firstLine="816" w:firstLineChars="371"/>
        <w:jc w:val="left"/>
        <w:rPr>
          <w:rFonts w:hint="eastAsia" w:ascii="宋体" w:hAnsi="宋体"/>
          <w:color w:val="000000"/>
          <w:sz w:val="22"/>
          <w:szCs w:val="22"/>
        </w:rPr>
      </w:pPr>
    </w:p>
    <w:p>
      <w:pPr>
        <w:spacing w:line="480" w:lineRule="auto"/>
        <w:jc w:val="left"/>
        <w:rPr>
          <w:rFonts w:hint="eastAsia" w:ascii="宋体" w:hAnsi="宋体" w:cs="宋体"/>
          <w:color w:val="000000"/>
          <w:sz w:val="24"/>
          <w:szCs w:val="24"/>
        </w:rPr>
      </w:pPr>
      <w:r>
        <w:rPr>
          <w:rFonts w:ascii="Times New Roman" w:hAnsi="Times New Roman"/>
          <w:color w:val="000000"/>
          <w:kern w:val="0"/>
          <w:sz w:val="24"/>
          <w:szCs w:val="24"/>
        </w:rPr>
        <w:t>比选申请人名称</w:t>
      </w:r>
      <w:r>
        <w:rPr>
          <w:rFonts w:hint="eastAsia" w:ascii="宋体" w:hAnsi="宋体" w:cs="宋体"/>
          <w:color w:val="000000"/>
          <w:sz w:val="24"/>
          <w:szCs w:val="24"/>
        </w:rPr>
        <w:t>（盖章）：</w:t>
      </w:r>
    </w:p>
    <w:p>
      <w:pPr>
        <w:spacing w:line="480" w:lineRule="auto"/>
        <w:jc w:val="left"/>
        <w:rPr>
          <w:rFonts w:hint="eastAsia" w:ascii="宋体" w:hAnsi="宋体" w:cs="宋体"/>
          <w:color w:val="000000"/>
          <w:sz w:val="24"/>
          <w:szCs w:val="24"/>
        </w:rPr>
      </w:pPr>
      <w:r>
        <w:rPr>
          <w:rFonts w:hint="eastAsia" w:ascii="宋体" w:hAnsi="宋体" w:cs="宋体"/>
          <w:color w:val="000000"/>
          <w:sz w:val="24"/>
          <w:szCs w:val="24"/>
        </w:rPr>
        <w:t>法定代表人或授权代表（签字或盖章）：</w:t>
      </w:r>
    </w:p>
    <w:p>
      <w:pPr>
        <w:spacing w:line="480" w:lineRule="auto"/>
        <w:jc w:val="left"/>
        <w:rPr>
          <w:rFonts w:hint="eastAsia" w:ascii="宋体" w:hAnsi="宋体" w:cs="宋体"/>
          <w:color w:val="000000"/>
          <w:sz w:val="24"/>
          <w:szCs w:val="24"/>
        </w:rPr>
      </w:pPr>
      <w:r>
        <w:rPr>
          <w:rFonts w:hint="eastAsia" w:ascii="宋体" w:hAnsi="宋体" w:cs="宋体"/>
          <w:color w:val="000000"/>
          <w:sz w:val="24"/>
          <w:szCs w:val="24"/>
        </w:rPr>
        <w:t>日  期：       年    月    日</w:t>
      </w:r>
    </w:p>
    <w:p>
      <w:pPr>
        <w:spacing w:line="360" w:lineRule="auto"/>
        <w:rPr>
          <w:rFonts w:ascii="Times New Roman" w:hAnsi="Times New Roman"/>
          <w:color w:val="auto"/>
          <w:sz w:val="24"/>
        </w:rPr>
      </w:pPr>
    </w:p>
    <w:p>
      <w:pPr>
        <w:spacing w:line="360" w:lineRule="auto"/>
        <w:rPr>
          <w:rFonts w:ascii="Times New Roman" w:hAnsi="Times New Roman"/>
          <w:sz w:val="24"/>
        </w:rPr>
      </w:pPr>
      <w:r>
        <w:rPr>
          <w:rFonts w:asciiTheme="minorEastAsia" w:hAnsiTheme="minorEastAsia" w:eastAsiaTheme="minorEastAsia"/>
          <w:sz w:val="24"/>
          <w:szCs w:val="24"/>
        </w:rPr>
        <w:br w:type="page"/>
      </w:r>
    </w:p>
    <w:bookmarkEnd w:id="3"/>
    <w:bookmarkEnd w:id="4"/>
    <w:p>
      <w:pPr>
        <w:spacing w:line="360" w:lineRule="auto"/>
        <w:jc w:val="center"/>
        <w:rPr>
          <w:rFonts w:ascii="Times New Roman" w:hAnsi="Times New Roman"/>
          <w:bCs/>
          <w:kern w:val="0"/>
          <w:sz w:val="36"/>
          <w:szCs w:val="36"/>
        </w:rPr>
      </w:pPr>
      <w:bookmarkStart w:id="48" w:name="_Toc520455385"/>
      <w:r>
        <w:rPr>
          <w:rFonts w:hint="eastAsia" w:ascii="Times New Roman" w:hAnsi="Times New Roman"/>
          <w:b/>
          <w:bCs/>
          <w:kern w:val="0"/>
          <w:sz w:val="36"/>
          <w:szCs w:val="36"/>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w:t>
      </w:r>
      <w:r>
        <w:rPr>
          <w:rFonts w:hint="eastAsia" w:ascii="Times New Roman" w:hAnsi="Times New Roman"/>
          <w:bCs/>
          <w:kern w:val="0"/>
          <w:sz w:val="24"/>
          <w:szCs w:val="20"/>
          <w:lang w:eastAsia="zh-CN"/>
        </w:rPr>
        <w:t>为一次性报价，</w:t>
      </w:r>
      <w:r>
        <w:rPr>
          <w:rFonts w:hint="eastAsia" w:ascii="Times New Roman" w:hAnsi="Times New Roman"/>
          <w:bCs/>
          <w:kern w:val="0"/>
          <w:sz w:val="24"/>
          <w:szCs w:val="20"/>
        </w:rPr>
        <w:t>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48"/>
    <w:p>
      <w:pPr>
        <w:pStyle w:val="4"/>
        <w:rPr>
          <w:rFonts w:hint="eastAsia"/>
          <w:lang w:eastAsia="zh-CN"/>
        </w:rPr>
      </w:pPr>
    </w:p>
    <w:tbl>
      <w:tblPr>
        <w:tblStyle w:val="11"/>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496"/>
        <w:gridCol w:w="1275"/>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90" w:type="dxa"/>
            <w:vAlign w:val="center"/>
          </w:tcPr>
          <w:p>
            <w:pPr>
              <w:autoSpaceDN w:val="0"/>
              <w:spacing w:line="360" w:lineRule="auto"/>
              <w:textAlignment w:val="center"/>
              <w:rPr>
                <w:rFonts w:hint="eastAsia" w:ascii="宋体" w:hAnsi="宋体" w:cs="宋体"/>
                <w:b/>
                <w:bCs w:val="0"/>
                <w:kern w:val="0"/>
                <w:sz w:val="24"/>
                <w:szCs w:val="24"/>
              </w:rPr>
            </w:pPr>
            <w:bookmarkStart w:id="49" w:name="_Toc16137"/>
            <w:r>
              <w:rPr>
                <w:rFonts w:hint="eastAsia" w:ascii="宋体" w:hAnsi="宋体" w:cs="宋体"/>
                <w:b/>
                <w:bCs w:val="0"/>
                <w:kern w:val="0"/>
                <w:sz w:val="24"/>
                <w:szCs w:val="24"/>
              </w:rPr>
              <w:t>序号</w:t>
            </w:r>
          </w:p>
        </w:tc>
        <w:tc>
          <w:tcPr>
            <w:tcW w:w="2496" w:type="dxa"/>
            <w:vAlign w:val="center"/>
          </w:tcPr>
          <w:p>
            <w:pPr>
              <w:spacing w:line="360" w:lineRule="auto"/>
              <w:ind w:firstLine="28"/>
              <w:jc w:val="center"/>
              <w:rPr>
                <w:rFonts w:hint="eastAsia" w:ascii="宋体" w:hAnsi="宋体" w:cs="宋体"/>
                <w:b/>
                <w:bCs w:val="0"/>
                <w:kern w:val="0"/>
                <w:sz w:val="24"/>
                <w:szCs w:val="24"/>
              </w:rPr>
            </w:pPr>
            <w:r>
              <w:rPr>
                <w:rFonts w:hint="eastAsia" w:ascii="宋体" w:hAnsi="宋体" w:cs="宋体"/>
                <w:b/>
                <w:bCs w:val="0"/>
                <w:kern w:val="0"/>
                <w:sz w:val="24"/>
                <w:szCs w:val="24"/>
              </w:rPr>
              <w:t>评分因素及权重</w:t>
            </w:r>
          </w:p>
        </w:tc>
        <w:tc>
          <w:tcPr>
            <w:tcW w:w="1275" w:type="dxa"/>
            <w:vAlign w:val="center"/>
          </w:tcPr>
          <w:p>
            <w:pPr>
              <w:spacing w:line="360" w:lineRule="auto"/>
              <w:ind w:firstLine="28"/>
              <w:jc w:val="center"/>
              <w:rPr>
                <w:rFonts w:hint="eastAsia" w:ascii="宋体" w:hAnsi="宋体" w:cs="宋体"/>
                <w:b/>
                <w:bCs w:val="0"/>
                <w:kern w:val="0"/>
                <w:sz w:val="24"/>
                <w:szCs w:val="24"/>
              </w:rPr>
            </w:pPr>
            <w:r>
              <w:rPr>
                <w:rFonts w:hint="eastAsia" w:ascii="宋体" w:hAnsi="宋体" w:cs="宋体"/>
                <w:b/>
                <w:bCs w:val="0"/>
                <w:kern w:val="0"/>
                <w:sz w:val="24"/>
                <w:szCs w:val="24"/>
              </w:rPr>
              <w:t>分值</w:t>
            </w:r>
          </w:p>
        </w:tc>
        <w:tc>
          <w:tcPr>
            <w:tcW w:w="4747" w:type="dxa"/>
            <w:vAlign w:val="center"/>
          </w:tcPr>
          <w:p>
            <w:pPr>
              <w:autoSpaceDN w:val="0"/>
              <w:spacing w:line="360" w:lineRule="auto"/>
              <w:jc w:val="center"/>
              <w:textAlignment w:val="center"/>
              <w:rPr>
                <w:rFonts w:hint="eastAsia" w:ascii="宋体" w:hAnsi="宋体" w:cs="宋体"/>
                <w:b/>
                <w:bCs w:val="0"/>
                <w:kern w:val="0"/>
                <w:sz w:val="24"/>
                <w:szCs w:val="24"/>
              </w:rPr>
            </w:pPr>
            <w:r>
              <w:rPr>
                <w:rFonts w:hint="eastAsia" w:ascii="宋体" w:hAnsi="宋体" w:cs="宋体"/>
                <w:b/>
                <w:bCs w:val="0"/>
                <w:kern w:val="0"/>
                <w:sz w:val="24"/>
                <w:szCs w:val="24"/>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0" w:type="dxa"/>
            <w:vAlign w:val="center"/>
          </w:tcPr>
          <w:p>
            <w:pPr>
              <w:autoSpaceDN w:val="0"/>
              <w:spacing w:line="360" w:lineRule="auto"/>
              <w:jc w:val="center"/>
              <w:textAlignment w:val="center"/>
              <w:rPr>
                <w:rFonts w:hint="eastAsia" w:ascii="宋体" w:hAnsi="宋体" w:cs="宋体"/>
                <w:kern w:val="0"/>
                <w:sz w:val="24"/>
                <w:szCs w:val="24"/>
              </w:rPr>
            </w:pPr>
            <w:r>
              <w:rPr>
                <w:rFonts w:hint="eastAsia" w:ascii="宋体" w:hAnsi="宋体" w:cs="宋体"/>
                <w:kern w:val="0"/>
                <w:sz w:val="24"/>
                <w:szCs w:val="24"/>
              </w:rPr>
              <w:t>1</w:t>
            </w:r>
          </w:p>
        </w:tc>
        <w:tc>
          <w:tcPr>
            <w:tcW w:w="2496" w:type="dxa"/>
            <w:vAlign w:val="center"/>
          </w:tcPr>
          <w:p>
            <w:pPr>
              <w:autoSpaceDN w:val="0"/>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cs="宋体"/>
                <w:kern w:val="0"/>
                <w:sz w:val="24"/>
                <w:szCs w:val="24"/>
              </w:rPr>
              <w:t>报价</w:t>
            </w:r>
            <w:r>
              <w:rPr>
                <w:rFonts w:hint="eastAsia" w:ascii="宋体" w:hAnsi="宋体" w:cs="宋体"/>
                <w:kern w:val="0"/>
                <w:sz w:val="24"/>
                <w:szCs w:val="24"/>
                <w:lang w:val="en-US" w:eastAsia="zh-CN"/>
              </w:rPr>
              <w:t>30%</w:t>
            </w:r>
          </w:p>
        </w:tc>
        <w:tc>
          <w:tcPr>
            <w:tcW w:w="1275" w:type="dxa"/>
            <w:vAlign w:val="center"/>
          </w:tcPr>
          <w:p>
            <w:pPr>
              <w:autoSpaceDN w:val="0"/>
              <w:spacing w:line="360" w:lineRule="auto"/>
              <w:jc w:val="center"/>
              <w:textAlignment w:val="center"/>
              <w:rPr>
                <w:rFonts w:hint="eastAsia" w:ascii="宋体" w:hAnsi="宋体" w:cs="宋体"/>
                <w:kern w:val="0"/>
                <w:sz w:val="24"/>
                <w:szCs w:val="24"/>
              </w:rPr>
            </w:pPr>
            <w:r>
              <w:rPr>
                <w:rFonts w:hint="eastAsia" w:ascii="宋体" w:hAnsi="宋体" w:cs="宋体"/>
                <w:kern w:val="0"/>
                <w:sz w:val="24"/>
                <w:szCs w:val="24"/>
              </w:rPr>
              <w:t>30分</w:t>
            </w:r>
          </w:p>
        </w:tc>
        <w:tc>
          <w:tcPr>
            <w:tcW w:w="4747" w:type="dxa"/>
            <w:vAlign w:val="center"/>
          </w:tcPr>
          <w:p>
            <w:pPr>
              <w:autoSpaceDN w:val="0"/>
              <w:spacing w:line="360" w:lineRule="auto"/>
              <w:jc w:val="left"/>
              <w:textAlignment w:val="center"/>
              <w:rPr>
                <w:rFonts w:hint="eastAsia" w:ascii="宋体" w:hAnsi="宋体" w:cs="宋体"/>
                <w:kern w:val="0"/>
                <w:sz w:val="24"/>
                <w:szCs w:val="24"/>
              </w:rPr>
            </w:pPr>
            <w:r>
              <w:rPr>
                <w:rFonts w:hint="eastAsia" w:ascii="宋体" w:hAnsi="宋体" w:cs="宋体"/>
                <w:kern w:val="0"/>
                <w:sz w:val="24"/>
                <w:szCs w:val="24"/>
              </w:rPr>
              <w:t>满足</w:t>
            </w:r>
            <w:r>
              <w:rPr>
                <w:rFonts w:hint="eastAsia" w:ascii="宋体" w:hAnsi="宋体" w:cs="宋体"/>
                <w:kern w:val="0"/>
                <w:sz w:val="24"/>
                <w:szCs w:val="24"/>
                <w:lang w:eastAsia="zh-CN"/>
              </w:rPr>
              <w:t>比选</w:t>
            </w:r>
            <w:r>
              <w:rPr>
                <w:rFonts w:hint="eastAsia" w:ascii="宋体" w:hAnsi="宋体" w:cs="宋体"/>
                <w:kern w:val="0"/>
                <w:sz w:val="24"/>
                <w:szCs w:val="24"/>
              </w:rPr>
              <w:t>文件要求且价格最低的最终报价为评审基准价，其价格分为满分。其他供应商的价格分统一按照下列公式计算：报价得分=(评审基准价÷最终报价)×30%×100。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90" w:type="dxa"/>
            <w:vAlign w:val="center"/>
          </w:tcPr>
          <w:p>
            <w:pPr>
              <w:autoSpaceDN w:val="0"/>
              <w:spacing w:line="360" w:lineRule="auto"/>
              <w:jc w:val="center"/>
              <w:textAlignment w:val="center"/>
              <w:rPr>
                <w:rFonts w:hint="eastAsia" w:ascii="宋体" w:hAnsi="宋体" w:cs="宋体"/>
                <w:kern w:val="0"/>
                <w:sz w:val="24"/>
                <w:szCs w:val="24"/>
              </w:rPr>
            </w:pPr>
            <w:r>
              <w:rPr>
                <w:rFonts w:hint="eastAsia" w:ascii="宋体" w:hAnsi="宋体" w:cs="宋体"/>
                <w:kern w:val="0"/>
                <w:sz w:val="24"/>
                <w:szCs w:val="24"/>
              </w:rPr>
              <w:t>2</w:t>
            </w:r>
          </w:p>
        </w:tc>
        <w:tc>
          <w:tcPr>
            <w:tcW w:w="2496" w:type="dxa"/>
            <w:vAlign w:val="center"/>
          </w:tcPr>
          <w:p>
            <w:pPr>
              <w:autoSpaceDN w:val="0"/>
              <w:spacing w:line="360" w:lineRule="auto"/>
              <w:jc w:val="center"/>
              <w:textAlignment w:val="center"/>
              <w:rPr>
                <w:rFonts w:hint="default" w:ascii="宋体" w:hAnsi="宋体" w:cs="宋体"/>
                <w:kern w:val="0"/>
                <w:sz w:val="24"/>
                <w:szCs w:val="24"/>
                <w:lang w:val="en-US"/>
              </w:rPr>
            </w:pPr>
            <w:r>
              <w:rPr>
                <w:rFonts w:hint="eastAsia" w:ascii="宋体" w:hAnsi="宋体" w:cs="宋体"/>
                <w:kern w:val="0"/>
                <w:sz w:val="24"/>
                <w:szCs w:val="24"/>
              </w:rPr>
              <w:t>服务</w:t>
            </w:r>
            <w:r>
              <w:rPr>
                <w:rFonts w:hint="eastAsia" w:ascii="宋体" w:hAnsi="宋体" w:cs="宋体"/>
                <w:kern w:val="0"/>
                <w:sz w:val="24"/>
                <w:szCs w:val="24"/>
                <w:lang w:eastAsia="zh-CN"/>
              </w:rPr>
              <w:t>方案</w:t>
            </w:r>
            <w:r>
              <w:rPr>
                <w:rFonts w:hint="eastAsia" w:ascii="宋体" w:hAnsi="宋体" w:cs="宋体"/>
                <w:kern w:val="0"/>
                <w:sz w:val="24"/>
                <w:szCs w:val="24"/>
                <w:lang w:val="en-US" w:eastAsia="zh-CN"/>
              </w:rPr>
              <w:t>50%</w:t>
            </w:r>
          </w:p>
        </w:tc>
        <w:tc>
          <w:tcPr>
            <w:tcW w:w="1275" w:type="dxa"/>
            <w:vAlign w:val="center"/>
          </w:tcPr>
          <w:p>
            <w:pPr>
              <w:autoSpaceDN w:val="0"/>
              <w:spacing w:line="360" w:lineRule="auto"/>
              <w:jc w:val="center"/>
              <w:textAlignment w:val="center"/>
              <w:rPr>
                <w:rFonts w:hint="eastAsia" w:ascii="宋体" w:hAnsi="宋体" w:cs="宋体"/>
                <w:kern w:val="0"/>
                <w:sz w:val="24"/>
                <w:szCs w:val="24"/>
              </w:rPr>
            </w:pPr>
            <w:r>
              <w:rPr>
                <w:rFonts w:hint="eastAsia" w:ascii="宋体" w:hAnsi="宋体" w:cs="宋体"/>
                <w:kern w:val="0"/>
                <w:sz w:val="24"/>
                <w:szCs w:val="24"/>
                <w:lang w:val="en-US" w:eastAsia="zh-CN"/>
              </w:rPr>
              <w:t>50</w:t>
            </w:r>
            <w:r>
              <w:rPr>
                <w:rFonts w:hint="eastAsia" w:ascii="宋体" w:hAnsi="宋体" w:cs="宋体"/>
                <w:kern w:val="0"/>
                <w:sz w:val="24"/>
                <w:szCs w:val="24"/>
              </w:rPr>
              <w:t>分</w:t>
            </w:r>
          </w:p>
        </w:tc>
        <w:tc>
          <w:tcPr>
            <w:tcW w:w="4747" w:type="dxa"/>
            <w:vAlign w:val="center"/>
          </w:tcPr>
          <w:p>
            <w:pPr>
              <w:adjustRightInd w:val="0"/>
              <w:snapToGrid w:val="0"/>
              <w:rPr>
                <w:rFonts w:hint="default" w:ascii="宋体" w:hAnsi="宋体" w:eastAsia="宋体" w:cs="宋体"/>
                <w:kern w:val="0"/>
                <w:sz w:val="24"/>
                <w:szCs w:val="24"/>
                <w:lang w:val="en-US" w:eastAsia="zh-CN"/>
              </w:rPr>
            </w:pPr>
            <w:r>
              <w:rPr>
                <w:rFonts w:hint="eastAsia" w:ascii="宋体" w:hAnsi="宋体" w:cs="宋体"/>
                <w:kern w:val="0"/>
                <w:sz w:val="24"/>
                <w:szCs w:val="24"/>
                <w:lang w:eastAsia="zh-CN"/>
              </w:rPr>
              <w:t>投标人</w:t>
            </w:r>
            <w:r>
              <w:rPr>
                <w:rFonts w:hint="eastAsia" w:ascii="宋体" w:hAnsi="宋体" w:cs="宋体"/>
                <w:kern w:val="0"/>
                <w:sz w:val="24"/>
                <w:szCs w:val="24"/>
              </w:rPr>
              <w:t>提供服务方案，包括但不限于：</w:t>
            </w:r>
            <w:r>
              <w:rPr>
                <w:rFonts w:hint="eastAsia" w:ascii="宋体" w:hAnsi="宋体" w:cs="宋体"/>
                <w:kern w:val="0"/>
                <w:sz w:val="24"/>
                <w:szCs w:val="24"/>
                <w:lang w:eastAsia="zh-CN"/>
              </w:rPr>
              <w:t>检测</w:t>
            </w:r>
            <w:r>
              <w:rPr>
                <w:rFonts w:hint="eastAsia" w:ascii="宋体" w:hAnsi="宋体" w:cs="宋体"/>
                <w:kern w:val="0"/>
                <w:sz w:val="24"/>
                <w:szCs w:val="24"/>
              </w:rPr>
              <w:t>机构管理运行机制、为本项目实施的人员</w:t>
            </w:r>
            <w:r>
              <w:rPr>
                <w:rFonts w:hint="eastAsia" w:ascii="宋体" w:hAnsi="宋体" w:cs="宋体"/>
                <w:kern w:val="0"/>
                <w:sz w:val="24"/>
                <w:szCs w:val="24"/>
                <w:lang w:eastAsia="zh-CN"/>
              </w:rPr>
              <w:t>配备（</w:t>
            </w:r>
            <w:r>
              <w:rPr>
                <w:rFonts w:hint="eastAsia" w:ascii="宋体" w:hAnsi="宋体" w:cs="宋体"/>
                <w:kern w:val="0"/>
                <w:sz w:val="24"/>
                <w:szCs w:val="24"/>
              </w:rPr>
              <w:t>提供职称结构和相应证书</w:t>
            </w:r>
            <w:r>
              <w:rPr>
                <w:rFonts w:hint="eastAsia" w:ascii="宋体" w:hAnsi="宋体" w:cs="宋体"/>
                <w:kern w:val="0"/>
                <w:sz w:val="24"/>
                <w:szCs w:val="24"/>
                <w:lang w:eastAsia="zh-CN"/>
              </w:rPr>
              <w:t>）</w:t>
            </w:r>
            <w:r>
              <w:rPr>
                <w:rFonts w:hint="eastAsia" w:ascii="宋体" w:hAnsi="宋体" w:cs="宋体"/>
                <w:kern w:val="0"/>
                <w:sz w:val="24"/>
                <w:szCs w:val="24"/>
              </w:rPr>
              <w:t>、</w:t>
            </w:r>
            <w:r>
              <w:rPr>
                <w:rFonts w:hint="eastAsia" w:ascii="宋体" w:hAnsi="宋体" w:cs="宋体"/>
                <w:kern w:val="0"/>
                <w:sz w:val="24"/>
                <w:szCs w:val="24"/>
                <w:lang w:eastAsia="zh-CN"/>
              </w:rPr>
              <w:t>综合能力、技术能力、</w:t>
            </w:r>
            <w:r>
              <w:rPr>
                <w:rFonts w:hint="eastAsia" w:ascii="宋体" w:hAnsi="宋体" w:cs="宋体"/>
                <w:kern w:val="0"/>
                <w:sz w:val="24"/>
                <w:szCs w:val="24"/>
              </w:rPr>
              <w:t>工具和设备</w:t>
            </w:r>
            <w:r>
              <w:rPr>
                <w:rFonts w:hint="eastAsia" w:ascii="宋体" w:hAnsi="宋体" w:cs="宋体"/>
                <w:kern w:val="0"/>
                <w:sz w:val="24"/>
                <w:szCs w:val="24"/>
                <w:lang w:eastAsia="zh-CN"/>
              </w:rPr>
              <w:t>、工作</w:t>
            </w:r>
            <w:r>
              <w:rPr>
                <w:rFonts w:hint="eastAsia" w:ascii="宋体" w:hAnsi="宋体" w:cs="宋体"/>
                <w:kern w:val="0"/>
                <w:sz w:val="24"/>
                <w:szCs w:val="24"/>
              </w:rPr>
              <w:t>程序、</w:t>
            </w:r>
            <w:r>
              <w:rPr>
                <w:rFonts w:hint="eastAsia" w:ascii="宋体" w:hAnsi="宋体" w:cs="宋体"/>
                <w:kern w:val="0"/>
                <w:sz w:val="24"/>
                <w:szCs w:val="24"/>
                <w:lang w:eastAsia="zh-CN"/>
              </w:rPr>
              <w:t>响应时间等，</w:t>
            </w:r>
            <w:r>
              <w:rPr>
                <w:rFonts w:hint="eastAsia" w:ascii="宋体" w:hAnsi="宋体" w:cs="宋体"/>
                <w:kern w:val="0"/>
                <w:sz w:val="24"/>
                <w:szCs w:val="24"/>
              </w:rPr>
              <w:t>所有要素科学完善，方案逻辑清楚，安排合理，</w:t>
            </w:r>
            <w:r>
              <w:rPr>
                <w:rFonts w:hint="eastAsia" w:ascii="宋体" w:hAnsi="宋体" w:cs="宋体"/>
                <w:kern w:val="0"/>
                <w:sz w:val="24"/>
                <w:szCs w:val="24"/>
                <w:lang w:eastAsia="zh-CN"/>
              </w:rPr>
              <w:t>方案最优者</w:t>
            </w:r>
            <w:r>
              <w:rPr>
                <w:rFonts w:hint="eastAsia" w:ascii="宋体" w:hAnsi="宋体" w:cs="宋体"/>
                <w:kern w:val="0"/>
                <w:sz w:val="24"/>
                <w:szCs w:val="24"/>
              </w:rPr>
              <w:t>得</w:t>
            </w:r>
            <w:r>
              <w:rPr>
                <w:rFonts w:hint="eastAsia" w:ascii="宋体" w:hAnsi="宋体" w:cs="宋体"/>
                <w:kern w:val="0"/>
                <w:sz w:val="24"/>
                <w:szCs w:val="24"/>
                <w:lang w:val="en-US" w:eastAsia="zh-CN"/>
              </w:rPr>
              <w:t>50</w:t>
            </w:r>
            <w:r>
              <w:rPr>
                <w:rFonts w:hint="eastAsia" w:ascii="宋体" w:hAnsi="宋体" w:cs="宋体"/>
                <w:kern w:val="0"/>
                <w:sz w:val="24"/>
                <w:szCs w:val="24"/>
              </w:rPr>
              <w:t>分，</w:t>
            </w:r>
            <w:r>
              <w:rPr>
                <w:rFonts w:hint="eastAsia" w:ascii="宋体" w:hAnsi="宋体" w:cs="宋体"/>
                <w:kern w:val="0"/>
                <w:sz w:val="24"/>
                <w:szCs w:val="24"/>
                <w:lang w:eastAsia="zh-CN"/>
              </w:rPr>
              <w:t>第二名得</w:t>
            </w:r>
            <w:r>
              <w:rPr>
                <w:rFonts w:hint="eastAsia" w:ascii="宋体" w:hAnsi="宋体" w:cs="宋体"/>
                <w:kern w:val="0"/>
                <w:sz w:val="24"/>
                <w:szCs w:val="24"/>
                <w:lang w:val="en-US" w:eastAsia="zh-CN"/>
              </w:rPr>
              <w:t>40分，第三名得30分，依次递减（可并列），本项最低得0分。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90" w:type="dxa"/>
            <w:vAlign w:val="center"/>
          </w:tcPr>
          <w:p>
            <w:pPr>
              <w:autoSpaceDN w:val="0"/>
              <w:spacing w:line="360" w:lineRule="auto"/>
              <w:jc w:val="center"/>
              <w:textAlignment w:val="center"/>
              <w:rPr>
                <w:rFonts w:hint="eastAsia" w:ascii="宋体" w:hAnsi="宋体" w:cs="宋体"/>
                <w:kern w:val="0"/>
                <w:sz w:val="24"/>
                <w:szCs w:val="24"/>
              </w:rPr>
            </w:pPr>
            <w:r>
              <w:rPr>
                <w:rFonts w:hint="eastAsia" w:ascii="宋体" w:hAnsi="宋体" w:cs="宋体"/>
                <w:kern w:val="0"/>
                <w:sz w:val="24"/>
                <w:szCs w:val="24"/>
              </w:rPr>
              <w:t>3</w:t>
            </w:r>
          </w:p>
        </w:tc>
        <w:tc>
          <w:tcPr>
            <w:tcW w:w="2496" w:type="dxa"/>
            <w:vAlign w:val="center"/>
          </w:tcPr>
          <w:p>
            <w:pPr>
              <w:autoSpaceDN w:val="0"/>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cs="宋体"/>
                <w:kern w:val="0"/>
                <w:sz w:val="24"/>
                <w:szCs w:val="24"/>
              </w:rPr>
              <w:t>业绩</w:t>
            </w:r>
            <w:r>
              <w:rPr>
                <w:rFonts w:hint="eastAsia" w:ascii="宋体" w:hAnsi="宋体" w:cs="宋体"/>
                <w:kern w:val="0"/>
                <w:sz w:val="24"/>
                <w:szCs w:val="24"/>
                <w:lang w:val="en-US" w:eastAsia="zh-CN"/>
              </w:rPr>
              <w:t>17%</w:t>
            </w:r>
          </w:p>
        </w:tc>
        <w:tc>
          <w:tcPr>
            <w:tcW w:w="1275" w:type="dxa"/>
            <w:vAlign w:val="center"/>
          </w:tcPr>
          <w:p>
            <w:pPr>
              <w:autoSpaceDN w:val="0"/>
              <w:spacing w:line="360" w:lineRule="auto"/>
              <w:jc w:val="center"/>
              <w:textAlignment w:val="center"/>
              <w:rPr>
                <w:rFonts w:hint="eastAsia" w:ascii="宋体" w:hAnsi="宋体" w:cs="宋体"/>
                <w:kern w:val="0"/>
                <w:sz w:val="24"/>
                <w:szCs w:val="24"/>
                <w:lang w:val="zh-CN"/>
              </w:rPr>
            </w:pPr>
            <w:r>
              <w:rPr>
                <w:rFonts w:hint="eastAsia" w:ascii="宋体" w:hAnsi="宋体" w:cs="宋体"/>
                <w:kern w:val="0"/>
                <w:sz w:val="24"/>
                <w:szCs w:val="24"/>
                <w:lang w:val="en-US" w:eastAsia="zh-CN"/>
              </w:rPr>
              <w:t>17</w:t>
            </w:r>
            <w:r>
              <w:rPr>
                <w:rFonts w:hint="eastAsia" w:ascii="宋体" w:hAnsi="宋体" w:cs="宋体"/>
                <w:kern w:val="0"/>
                <w:sz w:val="24"/>
                <w:szCs w:val="24"/>
                <w:lang w:val="zh-CN"/>
              </w:rPr>
              <w:t>分</w:t>
            </w:r>
          </w:p>
        </w:tc>
        <w:tc>
          <w:tcPr>
            <w:tcW w:w="4747" w:type="dxa"/>
            <w:vAlign w:val="center"/>
          </w:tcPr>
          <w:p>
            <w:pPr>
              <w:spacing w:line="0" w:lineRule="atLeast"/>
              <w:rPr>
                <w:rFonts w:hint="eastAsia" w:ascii="宋体" w:hAnsi="宋体" w:cs="宋体"/>
                <w:color w:val="FF0000"/>
                <w:kern w:val="0"/>
                <w:sz w:val="24"/>
                <w:szCs w:val="24"/>
                <w:lang w:val="zh-CN"/>
              </w:rPr>
            </w:pPr>
            <w:r>
              <w:rPr>
                <w:rFonts w:ascii="宋体" w:hAnsi="宋体"/>
                <w:color w:val="000000" w:themeColor="text1"/>
                <w:sz w:val="24"/>
                <w:szCs w:val="24"/>
                <w14:textFill>
                  <w14:solidFill>
                    <w14:schemeClr w14:val="tx1"/>
                  </w14:solidFill>
                </w14:textFill>
              </w:rPr>
              <w:t>投标人</w:t>
            </w:r>
            <w:r>
              <w:rPr>
                <w:rFonts w:hint="eastAsia" w:ascii="宋体" w:hAnsi="宋体"/>
                <w:color w:val="000000" w:themeColor="text1"/>
                <w:sz w:val="24"/>
                <w:szCs w:val="24"/>
                <w:lang w:eastAsia="zh-CN"/>
                <w14:textFill>
                  <w14:solidFill>
                    <w14:schemeClr w14:val="tx1"/>
                  </w14:solidFill>
                </w14:textFill>
              </w:rPr>
              <w:t>提供</w:t>
            </w:r>
            <w:r>
              <w:rPr>
                <w:rFonts w:hint="eastAsia" w:ascii="宋体" w:hAnsi="宋体"/>
                <w:kern w:val="0"/>
                <w:sz w:val="24"/>
                <w:szCs w:val="24"/>
                <w:highlight w:val="none"/>
              </w:rPr>
              <w:t>20</w:t>
            </w:r>
            <w:r>
              <w:rPr>
                <w:rFonts w:hint="eastAsia" w:ascii="宋体" w:hAnsi="宋体"/>
                <w:kern w:val="0"/>
                <w:sz w:val="24"/>
                <w:szCs w:val="24"/>
                <w:highlight w:val="none"/>
                <w:lang w:val="en-US" w:eastAsia="zh-CN"/>
              </w:rPr>
              <w:t>20、2021年</w:t>
            </w:r>
            <w:r>
              <w:rPr>
                <w:rFonts w:hint="eastAsia" w:ascii="宋体" w:hAnsi="宋体"/>
                <w:kern w:val="0"/>
                <w:sz w:val="24"/>
                <w:szCs w:val="24"/>
                <w:highlight w:val="none"/>
                <w:lang w:eastAsia="zh-CN"/>
              </w:rPr>
              <w:t>医院污水检测</w:t>
            </w:r>
            <w:r>
              <w:rPr>
                <w:rFonts w:hint="eastAsia" w:ascii="宋体" w:hAnsi="宋体"/>
                <w:kern w:val="0"/>
                <w:sz w:val="24"/>
                <w:szCs w:val="24"/>
                <w:highlight w:val="none"/>
              </w:rPr>
              <w:t>项目合同</w:t>
            </w:r>
            <w:r>
              <w:rPr>
                <w:rFonts w:hint="eastAsia" w:ascii="宋体" w:hAnsi="宋体"/>
                <w:kern w:val="0"/>
                <w:sz w:val="24"/>
                <w:szCs w:val="24"/>
                <w:highlight w:val="none"/>
                <w:lang w:eastAsia="zh-CN"/>
              </w:rPr>
              <w:t>，</w:t>
            </w:r>
            <w:r>
              <w:rPr>
                <w:rFonts w:hint="eastAsia" w:ascii="宋体" w:hAnsi="宋体"/>
                <w:color w:val="000000" w:themeColor="text1"/>
                <w:sz w:val="24"/>
                <w:szCs w:val="24"/>
                <w:lang w:eastAsia="zh-CN"/>
                <w14:textFill>
                  <w14:solidFill>
                    <w14:schemeClr w14:val="tx1"/>
                  </w14:solidFill>
                </w14:textFill>
              </w:rPr>
              <w:t>根据提供合同的数量及规模综合评定</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eastAsia="zh-CN"/>
                <w14:textFill>
                  <w14:solidFill>
                    <w14:schemeClr w14:val="tx1"/>
                  </w14:solidFill>
                </w14:textFill>
              </w:rPr>
              <w:t>最优得</w:t>
            </w:r>
            <w:r>
              <w:rPr>
                <w:rFonts w:hint="eastAsia" w:ascii="宋体" w:hAnsi="宋体"/>
                <w:color w:val="auto"/>
                <w:sz w:val="24"/>
                <w:szCs w:val="24"/>
                <w:lang w:val="en-US" w:eastAsia="zh-CN"/>
              </w:rPr>
              <w:t>17</w:t>
            </w:r>
            <w:r>
              <w:rPr>
                <w:rFonts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eastAsia="zh-CN"/>
                <w14:textFill>
                  <w14:solidFill>
                    <w14:schemeClr w14:val="tx1"/>
                  </w14:solidFill>
                </w14:textFill>
              </w:rPr>
              <w:t>，第二名得</w:t>
            </w:r>
            <w:r>
              <w:rPr>
                <w:rFonts w:hint="eastAsia" w:ascii="宋体" w:hAnsi="宋体"/>
                <w:color w:val="000000" w:themeColor="text1"/>
                <w:sz w:val="24"/>
                <w:szCs w:val="24"/>
                <w:lang w:val="en-US" w:eastAsia="zh-CN"/>
                <w14:textFill>
                  <w14:solidFill>
                    <w14:schemeClr w14:val="tx1"/>
                  </w14:solidFill>
                </w14:textFill>
              </w:rPr>
              <w:t>14分，</w:t>
            </w:r>
            <w:r>
              <w:rPr>
                <w:rFonts w:hint="eastAsia" w:ascii="宋体" w:hAnsi="宋体" w:cs="宋体"/>
                <w:kern w:val="0"/>
                <w:sz w:val="24"/>
                <w:szCs w:val="24"/>
                <w:lang w:val="en-US" w:eastAsia="zh-CN"/>
              </w:rPr>
              <w:t>第三名得11分，依次递减（可并列），本项最低得0分。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90" w:type="dxa"/>
            <w:vAlign w:val="center"/>
          </w:tcPr>
          <w:p>
            <w:pPr>
              <w:autoSpaceDN w:val="0"/>
              <w:spacing w:line="360" w:lineRule="auto"/>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4</w:t>
            </w:r>
          </w:p>
        </w:tc>
        <w:tc>
          <w:tcPr>
            <w:tcW w:w="2496" w:type="dxa"/>
            <w:vAlign w:val="center"/>
          </w:tcPr>
          <w:p>
            <w:pPr>
              <w:autoSpaceDN w:val="0"/>
              <w:spacing w:line="360" w:lineRule="auto"/>
              <w:jc w:val="center"/>
              <w:textAlignment w:val="center"/>
              <w:rPr>
                <w:rFonts w:hint="default" w:ascii="宋体" w:hAnsi="宋体" w:eastAsia="宋体" w:cs="宋体"/>
                <w:kern w:val="0"/>
                <w:sz w:val="24"/>
                <w:szCs w:val="24"/>
                <w:lang w:val="en-US" w:eastAsia="zh-CN"/>
              </w:rPr>
            </w:pPr>
            <w:r>
              <w:rPr>
                <w:rFonts w:hint="eastAsia" w:ascii="宋体" w:hAnsi="宋体" w:cs="宋体"/>
                <w:kern w:val="0"/>
                <w:sz w:val="24"/>
                <w:szCs w:val="24"/>
              </w:rPr>
              <w:t>响应文件的规范性</w:t>
            </w:r>
            <w:r>
              <w:rPr>
                <w:rFonts w:hint="eastAsia" w:ascii="宋体" w:hAnsi="宋体" w:cs="宋体"/>
                <w:kern w:val="0"/>
                <w:sz w:val="24"/>
                <w:szCs w:val="24"/>
                <w:lang w:val="en-US" w:eastAsia="zh-CN"/>
              </w:rPr>
              <w:t>3%</w:t>
            </w:r>
          </w:p>
        </w:tc>
        <w:tc>
          <w:tcPr>
            <w:tcW w:w="1275" w:type="dxa"/>
            <w:vAlign w:val="center"/>
          </w:tcPr>
          <w:p>
            <w:pPr>
              <w:autoSpaceDN w:val="0"/>
              <w:spacing w:line="360" w:lineRule="auto"/>
              <w:jc w:val="center"/>
              <w:textAlignment w:val="center"/>
              <w:rPr>
                <w:rFonts w:hint="eastAsia"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分</w:t>
            </w:r>
          </w:p>
        </w:tc>
        <w:tc>
          <w:tcPr>
            <w:tcW w:w="4747" w:type="dxa"/>
            <w:vAlign w:val="center"/>
          </w:tcPr>
          <w:p>
            <w:pPr>
              <w:autoSpaceDN w:val="0"/>
              <w:spacing w:line="360" w:lineRule="auto"/>
              <w:jc w:val="left"/>
              <w:textAlignment w:val="center"/>
              <w:rPr>
                <w:rFonts w:hint="eastAsia" w:ascii="宋体" w:hAnsi="宋体" w:cs="宋体"/>
                <w:kern w:val="0"/>
                <w:sz w:val="24"/>
                <w:szCs w:val="24"/>
              </w:rPr>
            </w:pPr>
            <w:r>
              <w:rPr>
                <w:rFonts w:hint="eastAsia" w:ascii="宋体" w:hAnsi="宋体" w:cs="宋体"/>
                <w:kern w:val="0"/>
                <w:sz w:val="24"/>
                <w:szCs w:val="24"/>
              </w:rPr>
              <w:t>响应文件制作规范，没有细微偏差情形的得</w:t>
            </w:r>
            <w:r>
              <w:rPr>
                <w:rFonts w:hint="eastAsia" w:ascii="宋体" w:hAnsi="宋体" w:cs="宋体"/>
                <w:kern w:val="0"/>
                <w:sz w:val="24"/>
                <w:szCs w:val="24"/>
                <w:lang w:val="en-US" w:eastAsia="zh-CN"/>
              </w:rPr>
              <w:t>3</w:t>
            </w:r>
            <w:r>
              <w:rPr>
                <w:rFonts w:hint="eastAsia" w:ascii="宋体" w:hAnsi="宋体" w:cs="宋体"/>
                <w:kern w:val="0"/>
                <w:sz w:val="24"/>
                <w:szCs w:val="24"/>
              </w:rPr>
              <w:t>分；有一项细微偏差扣</w:t>
            </w:r>
            <w:r>
              <w:rPr>
                <w:rFonts w:hint="eastAsia" w:ascii="宋体" w:hAnsi="宋体" w:cs="宋体"/>
                <w:kern w:val="0"/>
                <w:sz w:val="24"/>
                <w:szCs w:val="24"/>
                <w:lang w:val="en-US" w:eastAsia="zh-CN"/>
              </w:rPr>
              <w:t>1</w:t>
            </w:r>
            <w:r>
              <w:rPr>
                <w:rFonts w:hint="eastAsia" w:ascii="宋体" w:hAnsi="宋体" w:cs="宋体"/>
                <w:kern w:val="0"/>
                <w:sz w:val="24"/>
                <w:szCs w:val="24"/>
              </w:rPr>
              <w:t>分，直至该项分值扣完为止。</w:t>
            </w:r>
          </w:p>
        </w:tc>
      </w:tr>
      <w:bookmarkEnd w:id="49"/>
    </w:tbl>
    <w:p>
      <w:pPr>
        <w:pStyle w:val="8"/>
        <w:spacing w:line="500" w:lineRule="exact"/>
        <w:ind w:left="0" w:leftChars="0"/>
        <w:jc w:val="both"/>
        <w:rPr>
          <w:rFonts w:hint="default" w:ascii="宋体" w:hAnsi="宋体" w:eastAsia="宋体" w:cs="宋体"/>
          <w:b/>
          <w:color w:val="000000"/>
          <w:sz w:val="24"/>
          <w:szCs w:val="24"/>
          <w:highlight w:val="none"/>
          <w:lang w:val="en-US"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A7F8E"/>
    <w:multiLevelType w:val="singleLevel"/>
    <w:tmpl w:val="C45A7F8E"/>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CE687C"/>
    <w:rsid w:val="00E409E6"/>
    <w:rsid w:val="00EC49D0"/>
    <w:rsid w:val="00F46110"/>
    <w:rsid w:val="00F71A74"/>
    <w:rsid w:val="02346E00"/>
    <w:rsid w:val="032172E5"/>
    <w:rsid w:val="04E346EE"/>
    <w:rsid w:val="05B7047C"/>
    <w:rsid w:val="072E6858"/>
    <w:rsid w:val="07627012"/>
    <w:rsid w:val="085C641E"/>
    <w:rsid w:val="098E52B5"/>
    <w:rsid w:val="0B6D11A4"/>
    <w:rsid w:val="0CEF7770"/>
    <w:rsid w:val="0E1C293A"/>
    <w:rsid w:val="0E6F687E"/>
    <w:rsid w:val="0F096E41"/>
    <w:rsid w:val="0FF55AF9"/>
    <w:rsid w:val="10F86A5F"/>
    <w:rsid w:val="11616665"/>
    <w:rsid w:val="11E670D0"/>
    <w:rsid w:val="1270692A"/>
    <w:rsid w:val="138F4E03"/>
    <w:rsid w:val="146B50E8"/>
    <w:rsid w:val="147562CC"/>
    <w:rsid w:val="150E4A0A"/>
    <w:rsid w:val="151E74AA"/>
    <w:rsid w:val="1B164F48"/>
    <w:rsid w:val="1B760CB6"/>
    <w:rsid w:val="1C7F3E9F"/>
    <w:rsid w:val="1F570348"/>
    <w:rsid w:val="1FF9050B"/>
    <w:rsid w:val="23591932"/>
    <w:rsid w:val="25E90563"/>
    <w:rsid w:val="26E66850"/>
    <w:rsid w:val="27365AF8"/>
    <w:rsid w:val="278B7B24"/>
    <w:rsid w:val="28852661"/>
    <w:rsid w:val="2B170E41"/>
    <w:rsid w:val="2BED7625"/>
    <w:rsid w:val="2C34203F"/>
    <w:rsid w:val="2D022C3C"/>
    <w:rsid w:val="30C341A4"/>
    <w:rsid w:val="33565E87"/>
    <w:rsid w:val="34234BE8"/>
    <w:rsid w:val="3B2F5B79"/>
    <w:rsid w:val="3CF13782"/>
    <w:rsid w:val="3E474440"/>
    <w:rsid w:val="3F916D71"/>
    <w:rsid w:val="411F754D"/>
    <w:rsid w:val="43E90708"/>
    <w:rsid w:val="44447FB6"/>
    <w:rsid w:val="44677A47"/>
    <w:rsid w:val="44CA79BB"/>
    <w:rsid w:val="45E5377C"/>
    <w:rsid w:val="46416AD6"/>
    <w:rsid w:val="4709736A"/>
    <w:rsid w:val="4AD131F0"/>
    <w:rsid w:val="4B480906"/>
    <w:rsid w:val="4B9F23E1"/>
    <w:rsid w:val="4EFD498F"/>
    <w:rsid w:val="50502E09"/>
    <w:rsid w:val="50ED5E61"/>
    <w:rsid w:val="5160707C"/>
    <w:rsid w:val="51F20F33"/>
    <w:rsid w:val="52140592"/>
    <w:rsid w:val="54033FD8"/>
    <w:rsid w:val="540E0313"/>
    <w:rsid w:val="55BF386B"/>
    <w:rsid w:val="563001AE"/>
    <w:rsid w:val="575C340B"/>
    <w:rsid w:val="59091DA7"/>
    <w:rsid w:val="598C51FD"/>
    <w:rsid w:val="5A0B1F10"/>
    <w:rsid w:val="5B710D6D"/>
    <w:rsid w:val="5BDE3BBD"/>
    <w:rsid w:val="5DC97FBA"/>
    <w:rsid w:val="5F526965"/>
    <w:rsid w:val="5F5350D7"/>
    <w:rsid w:val="5FD00309"/>
    <w:rsid w:val="60D0221A"/>
    <w:rsid w:val="60E326EB"/>
    <w:rsid w:val="618D22BF"/>
    <w:rsid w:val="626D7142"/>
    <w:rsid w:val="631F522B"/>
    <w:rsid w:val="651A1B9C"/>
    <w:rsid w:val="6541314E"/>
    <w:rsid w:val="667D06D3"/>
    <w:rsid w:val="68402C86"/>
    <w:rsid w:val="691D5D30"/>
    <w:rsid w:val="69667733"/>
    <w:rsid w:val="6A4B2240"/>
    <w:rsid w:val="6CAE2F39"/>
    <w:rsid w:val="6CB93DB8"/>
    <w:rsid w:val="6DB92EB9"/>
    <w:rsid w:val="6E9B4C6A"/>
    <w:rsid w:val="6EA43D66"/>
    <w:rsid w:val="71211937"/>
    <w:rsid w:val="71AF5789"/>
    <w:rsid w:val="72A4400D"/>
    <w:rsid w:val="72B83BEA"/>
    <w:rsid w:val="72BF37AA"/>
    <w:rsid w:val="72D10FF8"/>
    <w:rsid w:val="72FC68DA"/>
    <w:rsid w:val="73B644F4"/>
    <w:rsid w:val="746867B6"/>
    <w:rsid w:val="76CA3B7D"/>
    <w:rsid w:val="76DE1903"/>
    <w:rsid w:val="77016BB2"/>
    <w:rsid w:val="77715D3D"/>
    <w:rsid w:val="77E61A3F"/>
    <w:rsid w:val="7D1B3CD3"/>
    <w:rsid w:val="7F7814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rFonts w:ascii="Times New Roman" w:hAnsi="Times New Roman" w:eastAsia="宋体" w:cs="Times New Roman"/>
      <w:kern w:val="0"/>
      <w:sz w:val="20"/>
      <w:szCs w:val="20"/>
      <w:lang w:val="en-US" w:eastAsia="zh-CN" w:bidi="ar-SA"/>
    </w:rPr>
  </w:style>
  <w:style w:type="paragraph" w:styleId="4">
    <w:name w:val="Body Text"/>
    <w:basedOn w:val="1"/>
    <w:next w:val="1"/>
    <w:qFormat/>
    <w:uiPriority w:val="0"/>
    <w:pPr>
      <w:spacing w:after="120"/>
    </w:pPr>
  </w:style>
  <w:style w:type="paragraph" w:styleId="5">
    <w:name w:val="Body Text Indent"/>
    <w:basedOn w:val="1"/>
    <w:semiHidden/>
    <w:unhideWhenUsed/>
    <w:qFormat/>
    <w:uiPriority w:val="99"/>
    <w:pPr>
      <w:spacing w:after="120"/>
      <w:ind w:left="420" w:leftChars="200"/>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List Continue 2"/>
    <w:basedOn w:val="1"/>
    <w:qFormat/>
    <w:uiPriority w:val="0"/>
    <w:pPr>
      <w:widowControl w:val="0"/>
      <w:spacing w:after="120"/>
      <w:ind w:left="840" w:leftChars="400"/>
      <w:jc w:val="both"/>
    </w:pPr>
    <w:rPr>
      <w:rFonts w:ascii="Times New Roman" w:hAnsi="Times New Roman" w:eastAsia="宋体" w:cs="Times New Roman"/>
      <w:kern w:val="2"/>
      <w:sz w:val="21"/>
      <w:szCs w:val="24"/>
      <w:lang w:val="en-US" w:eastAsia="zh-CN" w:bidi="ar-SA"/>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5"/>
    <w:qFormat/>
    <w:uiPriority w:val="0"/>
    <w:pPr>
      <w:ind w:firstLine="420" w:firstLineChars="200"/>
    </w:pPr>
    <w:rPr>
      <w:rFonts w:ascii="Calibri" w:hAnsi="Calibri" w:eastAsia="宋体" w:cs="Calibri"/>
      <w:szCs w:val="21"/>
    </w:rPr>
  </w:style>
  <w:style w:type="table" w:styleId="1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customStyle="1" w:styleId="15">
    <w:name w:val="批注框文本 Char"/>
    <w:basedOn w:val="13"/>
    <w:link w:val="6"/>
    <w:qFormat/>
    <w:uiPriority w:val="0"/>
    <w:rPr>
      <w:rFonts w:asciiTheme="minorHAnsi" w:hAnsiTheme="minorHAnsi" w:eastAsiaTheme="minorEastAsia" w:cstheme="minorBidi"/>
      <w:kern w:val="2"/>
      <w:sz w:val="18"/>
      <w:szCs w:val="18"/>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7">
    <w:name w:val="GW-正文"/>
    <w:qFormat/>
    <w:uiPriority w:val="0"/>
    <w:pPr>
      <w:widowControl w:val="0"/>
      <w:spacing w:line="360" w:lineRule="auto"/>
      <w:ind w:firstLine="200" w:firstLineChars="200"/>
      <w:jc w:val="both"/>
    </w:pPr>
    <w:rPr>
      <w:rFonts w:ascii="仿宋_GB2312" w:hAnsi="仿宋_GB2312" w:eastAsia="仿宋_GB2312" w:cs="Times New Roman"/>
      <w:kern w:val="2"/>
      <w:sz w:val="24"/>
      <w:szCs w:val="24"/>
      <w:lang w:val="en-US" w:eastAsia="zh-CN" w:bidi="ar-SA"/>
    </w:rPr>
  </w:style>
  <w:style w:type="paragraph" w:customStyle="1" w:styleId="18">
    <w:name w:val="正文首行缩进两字符"/>
    <w:basedOn w:val="1"/>
    <w:qFormat/>
    <w:uiPriority w:val="99"/>
    <w:pPr>
      <w:spacing w:line="360" w:lineRule="auto"/>
      <w:ind w:firstLine="200" w:firstLineChars="200"/>
    </w:pPr>
    <w:rPr>
      <w:rFonts w:ascii="Times New Roman" w:hAnsi="Times New Roman"/>
      <w:szCs w:val="20"/>
    </w:rPr>
  </w:style>
  <w:style w:type="paragraph" w:styleId="19">
    <w:name w:val="List Paragraph"/>
    <w:basedOn w:val="1"/>
    <w:qFormat/>
    <w:uiPriority w:val="34"/>
    <w:pPr>
      <w:ind w:firstLine="420" w:firstLineChars="200"/>
    </w:pPr>
  </w:style>
  <w:style w:type="character" w:customStyle="1" w:styleId="20">
    <w:name w:val="NormalCharacter"/>
    <w:semiHidden/>
    <w:qFormat/>
    <w:uiPriority w:val="0"/>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8146</Words>
  <Characters>8567</Characters>
  <Lines>5</Lines>
  <Paragraphs>1</Paragraphs>
  <TotalTime>22</TotalTime>
  <ScaleCrop>false</ScaleCrop>
  <LinksUpToDate>false</LinksUpToDate>
  <CharactersWithSpaces>9926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cp:lastPrinted>2022-05-17T07:19:05Z</cp:lastPrinted>
  <dcterms:modified xsi:type="dcterms:W3CDTF">2022-05-17T07:21:20Z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7A76FFCE859144609653F2ECB4E8462C</vt:lpwstr>
  </property>
</Properties>
</file>