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3"/>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宫腔电切镜、牙科负压抽吸系统</w:t>
      </w:r>
      <w:r>
        <w:rPr>
          <w:rFonts w:hint="eastAsia" w:ascii="Times New Roman" w:hAnsi="Times New Roman"/>
          <w:color w:val="auto"/>
          <w:sz w:val="32"/>
          <w:szCs w:val="32"/>
        </w:rPr>
        <w:t>的采购公告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宫腔电切镜、牙科负压抽吸系统</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宫腔电切镜、牙科负压抽吸系统</w:t>
      </w:r>
      <w:r>
        <w:rPr>
          <w:rFonts w:hint="eastAsia" w:ascii="Times New Roman" w:hAnsi="Times New Roman"/>
          <w:color w:val="auto"/>
          <w:sz w:val="24"/>
        </w:rPr>
        <w:t>采购项目</w:t>
      </w:r>
      <w:r>
        <w:rPr>
          <w:rFonts w:ascii="Times New Roman" w:hAnsi="Times New Roman"/>
          <w:bCs/>
          <w:color w:val="auto"/>
          <w:sz w:val="24"/>
        </w:rPr>
        <w:t>。</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072"/>
        <w:gridCol w:w="849"/>
        <w:gridCol w:w="1271"/>
        <w:gridCol w:w="128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包号</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01包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宫腔电切镜</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1</w:t>
            </w:r>
            <w:r>
              <w:rPr>
                <w:rFonts w:hint="eastAsia" w:ascii="Times New Roman" w:hAnsi="Times New Roman"/>
                <w:color w:val="auto"/>
                <w:sz w:val="24"/>
                <w:lang w:eastAsia="zh-CN"/>
              </w:rPr>
              <w:t>套</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19</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牙科负压抽吸系统</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9.8</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6</w:t>
      </w:r>
      <w:r>
        <w:rPr>
          <w:rFonts w:hint="eastAsia" w:ascii="Times New Roman" w:hAnsi="Times New Roman"/>
          <w:color w:val="auto"/>
          <w:sz w:val="24"/>
        </w:rPr>
        <w:t>月</w:t>
      </w:r>
      <w:r>
        <w:rPr>
          <w:rFonts w:hint="eastAsia" w:ascii="Times New Roman" w:hAnsi="Times New Roman"/>
          <w:color w:val="auto"/>
          <w:sz w:val="24"/>
          <w:lang w:val="en-US" w:eastAsia="zh-CN"/>
        </w:rPr>
        <w:t>10</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7</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color w:val="auto"/>
          <w:sz w:val="32"/>
          <w:szCs w:val="32"/>
          <w:lang w:val="en-US" w:eastAsia="zh-CN"/>
        </w:rPr>
        <w:t>宫腔电切镜、负压抽吸机</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val="en-US" w:eastAsia="zh-CN"/>
        </w:rPr>
        <w:t>宫腔电切镜、牙科负压抽吸系统</w:t>
      </w:r>
      <w:r>
        <w:rPr>
          <w:rFonts w:ascii="Times New Roman" w:hAnsi="Times New Roman"/>
          <w:color w:val="auto"/>
          <w:sz w:val="24"/>
        </w:rPr>
        <w:t>，兹以公告方式邀请符合要求的供应商参加比选。</w:t>
      </w:r>
    </w:p>
    <w:p>
      <w:pPr>
        <w:numPr>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val="en-US" w:eastAsia="zh-CN"/>
        </w:rPr>
        <w:t>宫腔电切镜、牙科负压抽吸系统</w:t>
      </w:r>
      <w:r>
        <w:rPr>
          <w:rFonts w:hint="eastAsia" w:ascii="Times New Roman" w:hAnsi="Times New Roman"/>
          <w:color w:val="auto"/>
          <w:sz w:val="24"/>
        </w:rPr>
        <w:t>采购项目</w:t>
      </w:r>
      <w:r>
        <w:rPr>
          <w:rFonts w:ascii="Times New Roman" w:hAnsi="Times New Roman"/>
          <w:bCs/>
          <w:color w:val="auto"/>
          <w:sz w:val="24"/>
        </w:rPr>
        <w:t>。</w:t>
      </w:r>
    </w:p>
    <w:p>
      <w:pPr>
        <w:numPr>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072"/>
        <w:gridCol w:w="849"/>
        <w:gridCol w:w="1271"/>
        <w:gridCol w:w="128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包号</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p>
          <w:p>
            <w:pPr>
              <w:jc w:val="center"/>
              <w:rPr>
                <w:rFonts w:ascii="Times New Roman" w:hAnsi="Times New Roman"/>
                <w:b/>
                <w:color w:val="auto"/>
                <w:sz w:val="24"/>
              </w:rPr>
            </w:pPr>
            <w:r>
              <w:rPr>
                <w:rFonts w:hint="eastAsia" w:ascii="Times New Roman" w:hAnsi="Times New Roman"/>
                <w:b/>
                <w:color w:val="auto"/>
                <w:sz w:val="24"/>
              </w:rPr>
              <w:t>（万元）</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01包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宫腔电切镜</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1</w:t>
            </w:r>
            <w:r>
              <w:rPr>
                <w:rFonts w:hint="eastAsia" w:ascii="Times New Roman" w:hAnsi="Times New Roman"/>
                <w:color w:val="auto"/>
                <w:sz w:val="24"/>
                <w:lang w:eastAsia="zh-CN"/>
              </w:rPr>
              <w:t>套</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19</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02包</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牙科负压抽吸系统</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9.8</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7、具有医疗器械经营企业许可证或医疗器械经营备案凭证（设备为I类医疗器械、不属于医疗器械不提供）</w:t>
      </w:r>
      <w:r>
        <w:rPr>
          <w:rFonts w:hint="eastAsia" w:ascii="Times New Roman" w:hAnsi="Times New Roman"/>
          <w:color w:val="auto"/>
          <w:kern w:val="0"/>
          <w:sz w:val="24"/>
          <w:lang w:val="zh-CN"/>
        </w:rPr>
        <w:t>；</w:t>
      </w:r>
      <w:bookmarkStart w:id="49" w:name="_GoBack"/>
      <w:bookmarkEnd w:id="49"/>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6</w:t>
      </w:r>
      <w:r>
        <w:rPr>
          <w:rFonts w:hint="eastAsia" w:ascii="Times New Roman" w:hAnsi="Times New Roman"/>
          <w:color w:val="auto"/>
          <w:sz w:val="24"/>
        </w:rPr>
        <w:t>月</w:t>
      </w:r>
      <w:r>
        <w:rPr>
          <w:rFonts w:hint="eastAsia" w:ascii="Times New Roman" w:hAnsi="Times New Roman"/>
          <w:color w:val="auto"/>
          <w:sz w:val="24"/>
          <w:lang w:val="en-US" w:eastAsia="zh-CN"/>
        </w:rPr>
        <w:t>10</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6</w:t>
      </w:r>
      <w:r>
        <w:rPr>
          <w:rFonts w:ascii="Times New Roman" w:hAnsi="Times New Roman"/>
          <w:color w:val="auto"/>
          <w:sz w:val="24"/>
        </w:rPr>
        <w:t>月</w:t>
      </w:r>
      <w:r>
        <w:rPr>
          <w:rFonts w:hint="eastAsia" w:ascii="Times New Roman" w:hAnsi="Times New Roman"/>
          <w:color w:val="auto"/>
          <w:sz w:val="24"/>
          <w:lang w:val="en-US" w:eastAsia="zh-CN"/>
        </w:rPr>
        <w:t>15</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0</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pStyle w:val="2"/>
      </w:pPr>
    </w:p>
    <w:p>
      <w:pPr>
        <w:rPr>
          <w:rFonts w:ascii="Times New Roman" w:hAnsi="Times New Roman"/>
          <w:b/>
          <w:color w:val="auto"/>
          <w:sz w:val="36"/>
          <w:szCs w:val="36"/>
        </w:rPr>
      </w:pPr>
      <w:bookmarkStart w:id="1" w:name="_Toc52036324"/>
    </w:p>
    <w:p>
      <w:pPr>
        <w:rPr>
          <w:rFonts w:ascii="Times New Roman" w:hAnsi="Times New Roman"/>
          <w:b/>
          <w:color w:val="auto"/>
          <w:kern w:val="0"/>
          <w:sz w:val="24"/>
          <w:szCs w:val="28"/>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233048245"/>
      <w:bookmarkStart w:id="3" w:name="_Toc350964160"/>
      <w:r>
        <w:rPr>
          <w:rFonts w:hint="eastAsia" w:ascii="宋体" w:hAnsi="宋体"/>
          <w:b/>
          <w:bCs/>
          <w:sz w:val="32"/>
          <w:szCs w:val="32"/>
          <w:lang w:eastAsia="zh-CN"/>
        </w:rPr>
        <w:t>一、</w:t>
      </w:r>
      <w:r>
        <w:rPr>
          <w:rFonts w:ascii="宋体" w:hAnsi="宋体" w:eastAsia="宋体"/>
          <w:b/>
          <w:bCs/>
          <w:sz w:val="32"/>
          <w:szCs w:val="32"/>
        </w:rPr>
        <w:t>技术参数</w:t>
      </w:r>
    </w:p>
    <w:p>
      <w:pPr>
        <w:pStyle w:val="2"/>
        <w:rPr>
          <w:rFonts w:hint="default" w:eastAsia="宋体"/>
          <w:lang w:val="en-US" w:eastAsia="zh-CN"/>
        </w:rPr>
      </w:pPr>
      <w:r>
        <w:rPr>
          <w:rFonts w:hint="eastAsia" w:ascii="宋体" w:hAnsi="宋体"/>
          <w:b/>
          <w:bCs/>
          <w:sz w:val="32"/>
          <w:szCs w:val="32"/>
          <w:lang w:eastAsia="zh-CN"/>
        </w:rPr>
        <w:t>第</w:t>
      </w:r>
      <w:r>
        <w:rPr>
          <w:rFonts w:hint="eastAsia" w:ascii="宋体" w:hAnsi="宋体"/>
          <w:b/>
          <w:bCs/>
          <w:sz w:val="32"/>
          <w:szCs w:val="32"/>
          <w:lang w:val="en-US" w:eastAsia="zh-CN"/>
        </w:rPr>
        <w:t>01包 宫腔电切镜（双极）</w:t>
      </w:r>
    </w:p>
    <w:p>
      <w:pPr>
        <w:rPr>
          <w:rFonts w:ascii="宋体" w:hAnsi="宋体" w:eastAsia="宋体"/>
          <w:sz w:val="24"/>
          <w:szCs w:val="24"/>
        </w:rPr>
      </w:pPr>
      <w:bookmarkStart w:id="4" w:name="_Toc52036325"/>
      <w:bookmarkStart w:id="5" w:name="_Toc520455383"/>
      <w:r>
        <w:rPr>
          <w:rFonts w:ascii="宋体" w:hAnsi="宋体" w:eastAsia="宋体"/>
          <w:sz w:val="24"/>
          <w:szCs w:val="24"/>
        </w:rPr>
        <w:t>▲1、</w:t>
      </w:r>
      <w:r>
        <w:rPr>
          <w:rFonts w:hint="eastAsia" w:ascii="宋体" w:hAnsi="宋体" w:eastAsia="宋体"/>
          <w:sz w:val="24"/>
          <w:szCs w:val="24"/>
        </w:rPr>
        <w:t>H</w:t>
      </w:r>
      <w:r>
        <w:rPr>
          <w:rFonts w:ascii="宋体" w:hAnsi="宋体" w:eastAsia="宋体"/>
          <w:sz w:val="24"/>
          <w:szCs w:val="24"/>
        </w:rPr>
        <w:t>OPKINS柱状晶体镜，12°电切镜，镜体外径≤4mm，长度≥30cm。</w:t>
      </w:r>
    </w:p>
    <w:p>
      <w:pPr>
        <w:rPr>
          <w:rFonts w:ascii="宋体" w:hAnsi="宋体" w:eastAsia="宋体"/>
          <w:sz w:val="24"/>
          <w:szCs w:val="24"/>
        </w:rPr>
      </w:pPr>
      <w:r>
        <w:rPr>
          <w:rFonts w:ascii="宋体" w:hAnsi="宋体" w:eastAsia="宋体"/>
          <w:sz w:val="24"/>
          <w:szCs w:val="24"/>
        </w:rPr>
        <w:t>2、镜面前端用人工蓝宝石制成。</w:t>
      </w:r>
    </w:p>
    <w:p>
      <w:pPr>
        <w:rPr>
          <w:rFonts w:ascii="宋体" w:hAnsi="宋体" w:eastAsia="宋体"/>
          <w:sz w:val="24"/>
          <w:szCs w:val="24"/>
        </w:rPr>
      </w:pPr>
      <w:r>
        <w:rPr>
          <w:rFonts w:ascii="宋体" w:hAnsi="宋体" w:eastAsia="宋体"/>
          <w:sz w:val="24"/>
          <w:szCs w:val="24"/>
        </w:rPr>
        <w:t>3、镜体采用钛合金，表面作磨砂抗反光处理。</w:t>
      </w:r>
    </w:p>
    <w:p>
      <w:pPr>
        <w:rPr>
          <w:rFonts w:ascii="宋体" w:hAnsi="宋体" w:eastAsia="宋体"/>
          <w:sz w:val="24"/>
          <w:szCs w:val="24"/>
        </w:rPr>
      </w:pPr>
      <w:r>
        <w:rPr>
          <w:rFonts w:ascii="宋体" w:hAnsi="宋体" w:eastAsia="宋体"/>
          <w:sz w:val="24"/>
          <w:szCs w:val="24"/>
        </w:rPr>
        <w:t>4、可高温、高压、气熏或浸泡消毒。</w:t>
      </w:r>
    </w:p>
    <w:p>
      <w:pPr>
        <w:rPr>
          <w:rFonts w:ascii="宋体" w:hAnsi="宋体" w:eastAsia="宋体"/>
          <w:sz w:val="24"/>
          <w:szCs w:val="24"/>
        </w:rPr>
      </w:pPr>
      <w:r>
        <w:rPr>
          <w:rFonts w:ascii="宋体" w:hAnsi="宋体" w:eastAsia="宋体"/>
          <w:sz w:val="24"/>
          <w:szCs w:val="24"/>
        </w:rPr>
        <w:t>5、被动式双极工作手件。</w:t>
      </w:r>
    </w:p>
    <w:p>
      <w:pPr>
        <w:rPr>
          <w:rFonts w:ascii="宋体" w:hAnsi="宋体" w:eastAsia="宋体"/>
          <w:sz w:val="24"/>
          <w:szCs w:val="24"/>
        </w:rPr>
      </w:pPr>
      <w:r>
        <w:rPr>
          <w:rFonts w:ascii="宋体" w:hAnsi="宋体" w:eastAsia="宋体"/>
          <w:sz w:val="24"/>
          <w:szCs w:val="24"/>
        </w:rPr>
        <w:t>▲6、电切镜鞘，26Fr.，镜鞘末端倾斜，带陶瓷绝缘头，含进水出水通道，快速释放锁扣，标准鞘芯 26 Fr. 。</w:t>
      </w:r>
    </w:p>
    <w:p>
      <w:pPr>
        <w:rPr>
          <w:rFonts w:ascii="宋体" w:hAnsi="宋体" w:eastAsia="宋体"/>
          <w:sz w:val="24"/>
          <w:szCs w:val="24"/>
        </w:rPr>
      </w:pPr>
      <w:r>
        <w:rPr>
          <w:rFonts w:ascii="宋体" w:hAnsi="宋体" w:eastAsia="宋体"/>
          <w:sz w:val="24"/>
          <w:szCs w:val="24"/>
        </w:rPr>
        <w:t>▲7、电切环，环形</w:t>
      </w:r>
      <w:r>
        <w:rPr>
          <w:rFonts w:hint="eastAsia" w:ascii="宋体" w:hAnsi="宋体" w:eastAsia="宋体"/>
          <w:sz w:val="24"/>
          <w:szCs w:val="24"/>
        </w:rPr>
        <w:t>，可</w:t>
      </w:r>
      <w:r>
        <w:rPr>
          <w:rFonts w:ascii="宋体" w:hAnsi="宋体" w:eastAsia="宋体"/>
          <w:sz w:val="24"/>
          <w:szCs w:val="24"/>
        </w:rPr>
        <w:t>重复使用</w:t>
      </w:r>
      <w:r>
        <w:rPr>
          <w:rFonts w:hint="eastAsia" w:ascii="宋体" w:hAnsi="宋体" w:eastAsia="宋体"/>
          <w:sz w:val="24"/>
          <w:szCs w:val="24"/>
        </w:rPr>
        <w:t>。</w:t>
      </w:r>
    </w:p>
    <w:p>
      <w:pPr>
        <w:numPr>
          <w:ilvl w:val="0"/>
          <w:numId w:val="1"/>
        </w:numPr>
        <w:rPr>
          <w:rFonts w:ascii="宋体" w:hAnsi="宋体" w:eastAsia="宋体"/>
          <w:sz w:val="24"/>
          <w:szCs w:val="24"/>
        </w:rPr>
      </w:pPr>
      <w:r>
        <w:rPr>
          <w:rFonts w:ascii="宋体" w:hAnsi="宋体" w:eastAsia="宋体"/>
          <w:sz w:val="24"/>
          <w:szCs w:val="24"/>
        </w:rPr>
        <w:t>配套消毒盒。</w:t>
      </w:r>
    </w:p>
    <w:p>
      <w:pPr>
        <w:jc w:val="both"/>
        <w:rPr>
          <w:b/>
          <w:sz w:val="32"/>
          <w:szCs w:val="32"/>
        </w:rPr>
      </w:pPr>
      <w:r>
        <w:rPr>
          <w:rFonts w:hint="eastAsia"/>
          <w:b/>
          <w:sz w:val="32"/>
          <w:szCs w:val="32"/>
          <w:lang w:eastAsia="zh-CN"/>
        </w:rPr>
        <w:t>第</w:t>
      </w:r>
      <w:r>
        <w:rPr>
          <w:rFonts w:hint="eastAsia"/>
          <w:b/>
          <w:sz w:val="32"/>
          <w:szCs w:val="32"/>
          <w:lang w:val="en-US" w:eastAsia="zh-CN"/>
        </w:rPr>
        <w:t xml:space="preserve">02包 </w:t>
      </w:r>
      <w:r>
        <w:rPr>
          <w:rFonts w:hint="eastAsia"/>
          <w:b/>
          <w:sz w:val="32"/>
          <w:szCs w:val="32"/>
        </w:rPr>
        <w:t>牙科电动抽吸系统</w:t>
      </w:r>
    </w:p>
    <w:p>
      <w:pPr>
        <w:pStyle w:val="52"/>
        <w:numPr>
          <w:ilvl w:val="0"/>
          <w:numId w:val="2"/>
        </w:numPr>
        <w:ind w:left="0" w:leftChars="0" w:firstLine="0" w:firstLineChars="0"/>
      </w:pPr>
      <w:r>
        <w:rPr>
          <w:rFonts w:hint="eastAsia"/>
        </w:rPr>
        <w:t>额定电压：</w:t>
      </w:r>
      <w:r>
        <w:t xml:space="preserve"> 380V</w:t>
      </w:r>
      <w:r>
        <w:rPr>
          <w:rFonts w:hint="eastAsia"/>
        </w:rPr>
        <w:t>/</w:t>
      </w:r>
      <w:r>
        <w:t>50 Hz</w:t>
      </w:r>
    </w:p>
    <w:p>
      <w:pPr>
        <w:pStyle w:val="52"/>
        <w:numPr>
          <w:ilvl w:val="0"/>
          <w:numId w:val="2"/>
        </w:numPr>
        <w:ind w:left="0" w:leftChars="0" w:firstLine="0" w:firstLineChars="0"/>
      </w:pPr>
      <w:r>
        <w:rPr>
          <w:rFonts w:hint="eastAsia"/>
        </w:rPr>
        <w:t>输入功耗：≥</w:t>
      </w:r>
      <w:r>
        <w:t>6 KW</w:t>
      </w:r>
    </w:p>
    <w:p>
      <w:pPr>
        <w:pStyle w:val="52"/>
        <w:numPr>
          <w:ilvl w:val="0"/>
          <w:numId w:val="2"/>
        </w:numPr>
        <w:ind w:left="0" w:leftChars="0" w:firstLine="0" w:firstLineChars="0"/>
      </w:pPr>
      <w:r>
        <w:rPr>
          <w:rFonts w:hint="eastAsia"/>
        </w:rPr>
        <w:t>工作时间：</w:t>
      </w:r>
      <w:r>
        <w:t>100% 连续工作</w:t>
      </w:r>
    </w:p>
    <w:p>
      <w:pPr>
        <w:pStyle w:val="52"/>
        <w:numPr>
          <w:ilvl w:val="0"/>
          <w:numId w:val="2"/>
        </w:numPr>
        <w:ind w:left="0" w:leftChars="0" w:firstLine="0" w:firstLineChars="0"/>
      </w:pPr>
      <w:r>
        <w:t>▲</w:t>
      </w:r>
      <w:r>
        <w:rPr>
          <w:rFonts w:hint="eastAsia"/>
        </w:rPr>
        <w:t>抽吸流量：≥</w:t>
      </w:r>
      <w:r>
        <w:t>8000 L/min</w:t>
      </w:r>
    </w:p>
    <w:p>
      <w:pPr>
        <w:pStyle w:val="52"/>
        <w:numPr>
          <w:ilvl w:val="0"/>
          <w:numId w:val="2"/>
        </w:numPr>
        <w:ind w:left="0" w:leftChars="0" w:firstLine="0" w:firstLineChars="0"/>
      </w:pPr>
      <w:r>
        <w:rPr>
          <w:rFonts w:hint="eastAsia"/>
        </w:rPr>
        <w:t>单台牙椅抽吸流量≥3</w:t>
      </w:r>
      <w:r>
        <w:t>00 L/min；</w:t>
      </w:r>
    </w:p>
    <w:p>
      <w:pPr>
        <w:pStyle w:val="52"/>
        <w:numPr>
          <w:ilvl w:val="0"/>
          <w:numId w:val="2"/>
        </w:numPr>
        <w:ind w:left="0" w:leftChars="0" w:firstLine="0" w:firstLineChars="0"/>
      </w:pPr>
      <w:r>
        <w:t>▲</w:t>
      </w:r>
      <w:r>
        <w:rPr>
          <w:rFonts w:hint="eastAsia"/>
        </w:rPr>
        <w:t>输出真空度：</w:t>
      </w:r>
      <w:r>
        <w:t>-</w:t>
      </w:r>
      <w:r>
        <w:rPr>
          <w:rFonts w:hint="eastAsia"/>
        </w:rPr>
        <w:t>12</w:t>
      </w:r>
      <w:r>
        <w:t>KPa</w:t>
      </w:r>
      <w:r>
        <w:rPr>
          <w:rFonts w:hint="eastAsia"/>
        </w:rPr>
        <w:t>—</w:t>
      </w:r>
      <w:r>
        <w:t>-40KPa</w:t>
      </w:r>
      <w:r>
        <w:rPr>
          <w:rFonts w:hint="eastAsia"/>
        </w:rPr>
        <w:t>可调</w:t>
      </w:r>
    </w:p>
    <w:p>
      <w:pPr>
        <w:pStyle w:val="52"/>
        <w:numPr>
          <w:ilvl w:val="0"/>
          <w:numId w:val="2"/>
        </w:numPr>
        <w:ind w:left="0" w:leftChars="0" w:firstLine="0" w:firstLineChars="0"/>
      </w:pPr>
      <w:r>
        <w:t>▲具有智能</w:t>
      </w:r>
      <w:r>
        <w:rPr>
          <w:rFonts w:hint="eastAsia"/>
        </w:rPr>
        <w:t>、变频</w:t>
      </w:r>
      <w:r>
        <w:t>控制功能，≥2台</w:t>
      </w:r>
      <w:r>
        <w:rPr>
          <w:rFonts w:hint="eastAsia"/>
        </w:rPr>
        <w:t>水环式</w:t>
      </w:r>
      <w:r>
        <w:t>真空泵自动均衡启动。如果一台负压泵发生故障， 自动转换到一个起作用的抽吸机器上继续工作；</w:t>
      </w:r>
    </w:p>
    <w:p>
      <w:pPr>
        <w:pStyle w:val="52"/>
        <w:numPr>
          <w:ilvl w:val="0"/>
          <w:numId w:val="2"/>
        </w:numPr>
        <w:ind w:left="0" w:leftChars="0" w:firstLine="0" w:firstLineChars="0"/>
      </w:pPr>
      <w:r>
        <w:rPr>
          <w:rFonts w:hint="eastAsia"/>
        </w:rPr>
        <w:t>带有电脑触控显示控制器，直接显示当前的管道系统中实际的真空水平及机头的运行状态；</w:t>
      </w:r>
    </w:p>
    <w:p>
      <w:pPr>
        <w:pStyle w:val="52"/>
        <w:numPr>
          <w:ilvl w:val="0"/>
          <w:numId w:val="2"/>
        </w:numPr>
        <w:ind w:left="0" w:leftChars="0" w:firstLine="0" w:firstLineChars="0"/>
      </w:pPr>
      <w:r>
        <w:t>▲屏幕上自动显示错误信息，并可进行人机对话，提示故障位置及处理方法；通过显示器可查询和显示每台抽吸机的工作的时间；</w:t>
      </w:r>
    </w:p>
    <w:p>
      <w:pPr>
        <w:pStyle w:val="52"/>
        <w:numPr>
          <w:ilvl w:val="0"/>
          <w:numId w:val="2"/>
        </w:numPr>
        <w:ind w:left="0" w:leftChars="0" w:firstLine="0" w:firstLineChars="0"/>
      </w:pPr>
      <w:r>
        <w:t>▲</w:t>
      </w:r>
      <w:r>
        <w:rPr>
          <w:rFonts w:hint="eastAsia"/>
        </w:rPr>
        <w:t>设有紧急启动装置，在电脑控制器失控时，使用此开关来紧急启动；</w:t>
      </w:r>
    </w:p>
    <w:p>
      <w:pPr>
        <w:pStyle w:val="52"/>
        <w:numPr>
          <w:ilvl w:val="0"/>
          <w:numId w:val="2"/>
        </w:numPr>
        <w:ind w:left="0" w:leftChars="0" w:firstLine="0" w:firstLineChars="0"/>
      </w:pPr>
      <w:r>
        <w:rPr>
          <w:rFonts w:hint="eastAsia"/>
        </w:rPr>
        <w:t>配有静音箱或房屋进行降噪处理，噪音≤</w:t>
      </w:r>
      <w:r>
        <w:t>70dB；</w:t>
      </w:r>
    </w:p>
    <w:p>
      <w:pPr>
        <w:pStyle w:val="52"/>
        <w:numPr>
          <w:ilvl w:val="0"/>
          <w:numId w:val="2"/>
        </w:numPr>
        <w:ind w:left="0" w:leftChars="0" w:firstLine="0" w:firstLineChars="0"/>
      </w:pPr>
      <w:r>
        <w:rPr>
          <w:rFonts w:hint="eastAsia"/>
        </w:rPr>
        <w:t>具有独立离心式水气分离系统，带液位传感器；</w:t>
      </w:r>
    </w:p>
    <w:p>
      <w:pPr>
        <w:pStyle w:val="52"/>
        <w:numPr>
          <w:ilvl w:val="0"/>
          <w:numId w:val="2"/>
        </w:numPr>
        <w:ind w:left="0" w:leftChars="0" w:firstLine="0" w:firstLineChars="0"/>
      </w:pPr>
      <w:r>
        <w:rPr>
          <w:rFonts w:hint="eastAsia"/>
        </w:rPr>
        <w:t>不锈钢过滤芯（非一次性过滤器），可处理含泡沫混合液体</w:t>
      </w:r>
      <w:r>
        <w:rPr>
          <w:rFonts w:hint="eastAsia"/>
          <w:lang w:eastAsia="zh-CN"/>
        </w:rPr>
        <w:t>；</w:t>
      </w:r>
    </w:p>
    <w:p>
      <w:pPr>
        <w:pStyle w:val="52"/>
        <w:numPr>
          <w:ilvl w:val="0"/>
          <w:numId w:val="2"/>
        </w:numPr>
        <w:ind w:left="0" w:leftChars="0" w:firstLine="0" w:firstLineChars="0"/>
      </w:pPr>
      <w:r>
        <w:rPr>
          <w:rFonts w:hint="eastAsia"/>
        </w:rPr>
        <w:t>排气过滤器有效工作时间≥</w:t>
      </w:r>
      <w:r>
        <w:t>3500小时；</w:t>
      </w:r>
      <w:r>
        <w:rPr>
          <w:rFonts w:hint="eastAsia"/>
        </w:rPr>
        <w:t>保证废气处理后排放</w:t>
      </w:r>
      <w:r>
        <w:rPr>
          <w:rFonts w:hint="eastAsia"/>
          <w:lang w:eastAsia="zh-CN"/>
        </w:rPr>
        <w:t>。</w:t>
      </w:r>
    </w:p>
    <w:p>
      <w:pPr>
        <w:spacing w:line="360" w:lineRule="auto"/>
        <w:jc w:val="left"/>
        <w:textAlignment w:val="baseline"/>
        <w:rPr>
          <w:rFonts w:hint="eastAsia" w:ascii="宋体" w:hAnsi="宋体"/>
          <w:b/>
          <w:bCs/>
          <w:sz w:val="32"/>
          <w:szCs w:val="32"/>
          <w:lang w:eastAsia="zh-CN"/>
        </w:rPr>
      </w:pPr>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交货期：01包签订合同后90日内，02包签订合同后30日内。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2.1质保期：第01包</w:t>
      </w:r>
      <w:r>
        <w:rPr>
          <w:rFonts w:hint="eastAsia" w:ascii="Times New Roman" w:hAnsi="Times New Roman"/>
          <w:color w:val="auto"/>
          <w:sz w:val="24"/>
          <w:lang w:val="en-US" w:eastAsia="zh-CN"/>
        </w:rPr>
        <w:t>宫腔电切镜</w:t>
      </w:r>
      <w:r>
        <w:rPr>
          <w:rFonts w:cs="Arial" w:asciiTheme="minorEastAsia" w:hAnsiTheme="minorEastAsia" w:eastAsiaTheme="minorEastAsia"/>
          <w:sz w:val="24"/>
          <w:szCs w:val="24"/>
        </w:rPr>
        <w:t>≥</w:t>
      </w:r>
      <w:r>
        <w:rPr>
          <w:rFonts w:hint="eastAsia" w:cs="Times New Roman" w:asciiTheme="minorEastAsia" w:hAnsiTheme="minorEastAsia" w:eastAsiaTheme="minorEastAsia"/>
          <w:color w:val="auto"/>
          <w:kern w:val="2"/>
          <w:sz w:val="24"/>
          <w:szCs w:val="24"/>
          <w:lang w:val="en-US" w:eastAsia="zh-CN" w:bidi="ar-SA"/>
        </w:rPr>
        <w:t>2年；第02包</w:t>
      </w:r>
      <w:r>
        <w:rPr>
          <w:rFonts w:hint="eastAsia" w:ascii="Times New Roman" w:hAnsi="Times New Roman"/>
          <w:color w:val="auto"/>
          <w:sz w:val="24"/>
          <w:lang w:val="en-US" w:eastAsia="zh-CN"/>
        </w:rPr>
        <w:t>牙科负压抽吸系统</w:t>
      </w:r>
      <w:r>
        <w:rPr>
          <w:rFonts w:cs="Arial" w:asciiTheme="minorEastAsia" w:hAnsiTheme="minorEastAsia" w:eastAsiaTheme="minorEastAsia"/>
          <w:sz w:val="24"/>
          <w:szCs w:val="24"/>
        </w:rPr>
        <w:t>≥</w:t>
      </w:r>
      <w:r>
        <w:rPr>
          <w:rFonts w:hint="eastAsia" w:cs="Times New Roman" w:asciiTheme="minorEastAsia" w:hAnsiTheme="minorEastAsia" w:eastAsiaTheme="minorEastAsia"/>
          <w:color w:val="auto"/>
          <w:kern w:val="2"/>
          <w:sz w:val="24"/>
          <w:szCs w:val="24"/>
          <w:lang w:val="en-US" w:eastAsia="zh-CN" w:bidi="ar-SA"/>
        </w:rPr>
        <w:t>3年；在质保期内，所有的配件费、人工费、差旅费、运输费、搬运费等所有费用均由供应商承担。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，正常使用半年后1个月内付合同总价的20% ，质保期满一年后1个月内付合同总价10%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3"/>
        <w:jc w:val="both"/>
        <w:rPr>
          <w:rFonts w:ascii="Times New Roman" w:hAnsi="Times New Roman"/>
          <w:color w:val="auto"/>
          <w:sz w:val="36"/>
          <w:szCs w:val="36"/>
        </w:rPr>
      </w:pPr>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33709793"/>
      <w:bookmarkStart w:id="7" w:name="_Toc33698132"/>
      <w:bookmarkStart w:id="8" w:name="_Toc34051805"/>
      <w:bookmarkStart w:id="9" w:name="_Toc52036326"/>
      <w:bookmarkStart w:id="10" w:name="_Toc40447267"/>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698133"/>
      <w:bookmarkStart w:id="12" w:name="_Toc34051806"/>
      <w:bookmarkStart w:id="13" w:name="_Toc33709794"/>
      <w:bookmarkStart w:id="14" w:name="_Toc40447268"/>
      <w:bookmarkStart w:id="15" w:name="_Toc52036327"/>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40447269"/>
      <w:bookmarkStart w:id="18" w:name="_Toc52036328"/>
      <w:bookmarkStart w:id="19" w:name="_Toc33709795"/>
      <w:bookmarkStart w:id="20" w:name="_Toc33698134"/>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3698135"/>
      <w:bookmarkStart w:id="22" w:name="_Toc34051808"/>
      <w:bookmarkStart w:id="23" w:name="_Toc52036329"/>
      <w:bookmarkStart w:id="24" w:name="_Toc33709796"/>
      <w:bookmarkStart w:id="25" w:name="_Toc40447270"/>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820890"/>
      <w:bookmarkStart w:id="27" w:name="_Toc307564880"/>
      <w:bookmarkStart w:id="28" w:name="_Toc436404120"/>
      <w:bookmarkStart w:id="29" w:name="_Toc436385992"/>
      <w:bookmarkStart w:id="30" w:name="_Toc436410129"/>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183"/>
      <w:bookmarkStart w:id="32" w:name="_Toc503986415"/>
      <w:bookmarkStart w:id="33" w:name="_Toc503986971"/>
      <w:bookmarkStart w:id="34" w:name="_Toc503987104"/>
      <w:bookmarkStart w:id="35" w:name="_Toc503987293"/>
      <w:bookmarkStart w:id="36" w:name="_Toc503986838"/>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40447271"/>
      <w:bookmarkStart w:id="38" w:name="_Toc33709797"/>
      <w:bookmarkStart w:id="39" w:name="_Toc34051809"/>
      <w:bookmarkStart w:id="40" w:name="_Toc52036330"/>
      <w:bookmarkStart w:id="41" w:name="_Toc33698136"/>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33709798"/>
      <w:bookmarkStart w:id="43" w:name="_Toc34051810"/>
      <w:bookmarkStart w:id="44" w:name="_Toc40447272"/>
      <w:bookmarkStart w:id="45" w:name="_Toc52036331"/>
      <w:bookmarkStart w:id="46" w:name="_Toc33698137"/>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22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36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89095"/>
    <w:multiLevelType w:val="singleLevel"/>
    <w:tmpl w:val="A7289095"/>
    <w:lvl w:ilvl="0" w:tentative="0">
      <w:start w:val="8"/>
      <w:numFmt w:val="decimal"/>
      <w:suff w:val="nothing"/>
      <w:lvlText w:val="%1、"/>
      <w:lvlJc w:val="left"/>
    </w:lvl>
  </w:abstractNum>
  <w:abstractNum w:abstractNumId="1">
    <w:nsid w:val="42433EF3"/>
    <w:multiLevelType w:val="multilevel"/>
    <w:tmpl w:val="42433E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4770BA3"/>
    <w:rsid w:val="05FF7BD4"/>
    <w:rsid w:val="07093D55"/>
    <w:rsid w:val="073A38EF"/>
    <w:rsid w:val="0AFA5A96"/>
    <w:rsid w:val="0CD27FFC"/>
    <w:rsid w:val="0DAC4D70"/>
    <w:rsid w:val="0DDB44D7"/>
    <w:rsid w:val="0E677033"/>
    <w:rsid w:val="0E7F1957"/>
    <w:rsid w:val="13985C26"/>
    <w:rsid w:val="13AE2691"/>
    <w:rsid w:val="15826B8D"/>
    <w:rsid w:val="17122347"/>
    <w:rsid w:val="1A2B2E8E"/>
    <w:rsid w:val="1B4D05AA"/>
    <w:rsid w:val="1D9C3D81"/>
    <w:rsid w:val="1E1836D2"/>
    <w:rsid w:val="1F2324A2"/>
    <w:rsid w:val="1F42517D"/>
    <w:rsid w:val="1FDE786A"/>
    <w:rsid w:val="1FE2762F"/>
    <w:rsid w:val="20A2053B"/>
    <w:rsid w:val="20A21E92"/>
    <w:rsid w:val="20D54F08"/>
    <w:rsid w:val="247F6619"/>
    <w:rsid w:val="257874B5"/>
    <w:rsid w:val="261750D0"/>
    <w:rsid w:val="29790E86"/>
    <w:rsid w:val="29A7364C"/>
    <w:rsid w:val="2A092A55"/>
    <w:rsid w:val="2AA06533"/>
    <w:rsid w:val="2B356AFD"/>
    <w:rsid w:val="2C0B4C36"/>
    <w:rsid w:val="2F5D26AF"/>
    <w:rsid w:val="2FB70420"/>
    <w:rsid w:val="33D16649"/>
    <w:rsid w:val="35DF103A"/>
    <w:rsid w:val="3609706D"/>
    <w:rsid w:val="3BF758E5"/>
    <w:rsid w:val="3CE068D6"/>
    <w:rsid w:val="3D075CFC"/>
    <w:rsid w:val="3E624969"/>
    <w:rsid w:val="3FCA2095"/>
    <w:rsid w:val="40F37FB8"/>
    <w:rsid w:val="420039D8"/>
    <w:rsid w:val="453A0EBB"/>
    <w:rsid w:val="46CE4EDF"/>
    <w:rsid w:val="4C2C6594"/>
    <w:rsid w:val="4D137AF0"/>
    <w:rsid w:val="4D194481"/>
    <w:rsid w:val="50277BC9"/>
    <w:rsid w:val="5095081C"/>
    <w:rsid w:val="50D15CF8"/>
    <w:rsid w:val="50F862C3"/>
    <w:rsid w:val="51066F16"/>
    <w:rsid w:val="51AE40DC"/>
    <w:rsid w:val="5334236B"/>
    <w:rsid w:val="58BA1F78"/>
    <w:rsid w:val="5962566E"/>
    <w:rsid w:val="5AAD383C"/>
    <w:rsid w:val="5DD8138D"/>
    <w:rsid w:val="5DEF0CB7"/>
    <w:rsid w:val="60C33E13"/>
    <w:rsid w:val="611E7ED2"/>
    <w:rsid w:val="659F01D8"/>
    <w:rsid w:val="66C976CB"/>
    <w:rsid w:val="67F26159"/>
    <w:rsid w:val="68B977C1"/>
    <w:rsid w:val="69E4351C"/>
    <w:rsid w:val="6A4F2F1A"/>
    <w:rsid w:val="6A6764EA"/>
    <w:rsid w:val="6A6931C9"/>
    <w:rsid w:val="6B8A20A2"/>
    <w:rsid w:val="6C320399"/>
    <w:rsid w:val="6C755241"/>
    <w:rsid w:val="6D592E1C"/>
    <w:rsid w:val="6E604A55"/>
    <w:rsid w:val="6F514ADE"/>
    <w:rsid w:val="6F833AC6"/>
    <w:rsid w:val="71163687"/>
    <w:rsid w:val="71593422"/>
    <w:rsid w:val="72B059E8"/>
    <w:rsid w:val="732C647B"/>
    <w:rsid w:val="768444B8"/>
    <w:rsid w:val="77B84C6C"/>
    <w:rsid w:val="79EB01B7"/>
    <w:rsid w:val="7A1B6C1E"/>
    <w:rsid w:val="7A351B2A"/>
    <w:rsid w:val="7AB732C5"/>
    <w:rsid w:val="7AB7598A"/>
    <w:rsid w:val="7BE114B4"/>
    <w:rsid w:val="7C3F13C0"/>
    <w:rsid w:val="7D8D4B15"/>
    <w:rsid w:val="7E0D277C"/>
    <w:rsid w:val="7E604B3E"/>
    <w:rsid w:val="7F4F5EB6"/>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2"/>
    <w:qFormat/>
    <w:uiPriority w:val="0"/>
    <w:rPr>
      <w:b/>
      <w:bCs/>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link w:val="13"/>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5"/>
    <w:qFormat/>
    <w:uiPriority w:val="0"/>
    <w:rPr>
      <w:kern w:val="2"/>
      <w:sz w:val="18"/>
      <w:szCs w:val="18"/>
    </w:rPr>
  </w:style>
  <w:style w:type="character" w:customStyle="1" w:styleId="35">
    <w:name w:val="正文文本缩进 Char"/>
    <w:link w:val="8"/>
    <w:qFormat/>
    <w:uiPriority w:val="0"/>
    <w:rPr>
      <w:kern w:val="2"/>
      <w:sz w:val="21"/>
      <w:szCs w:val="24"/>
    </w:rPr>
  </w:style>
  <w:style w:type="character" w:customStyle="1" w:styleId="36">
    <w:name w:val="批注主题 Char"/>
    <w:link w:val="20"/>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0"/>
    <w:qFormat/>
    <w:locked/>
    <w:uiPriority w:val="0"/>
    <w:rPr>
      <w:rFonts w:ascii="宋体" w:hAnsi="Courier New" w:cs="Courier New"/>
      <w:kern w:val="2"/>
      <w:sz w:val="21"/>
      <w:szCs w:val="21"/>
    </w:rPr>
  </w:style>
  <w:style w:type="character" w:customStyle="1" w:styleId="40">
    <w:name w:val="日期 Char"/>
    <w:link w:val="11"/>
    <w:qFormat/>
    <w:uiPriority w:val="0"/>
    <w:rPr>
      <w:kern w:val="2"/>
      <w:sz w:val="21"/>
      <w:szCs w:val="24"/>
    </w:rPr>
  </w:style>
  <w:style w:type="character" w:customStyle="1" w:styleId="41">
    <w:name w:val="正文文本 Char"/>
    <w:link w:val="2"/>
    <w:qFormat/>
    <w:uiPriority w:val="0"/>
    <w:rPr>
      <w:kern w:val="2"/>
      <w:sz w:val="21"/>
      <w:szCs w:val="24"/>
    </w:rPr>
  </w:style>
  <w:style w:type="character" w:customStyle="1" w:styleId="42">
    <w:name w:val="标题 Char"/>
    <w:link w:val="19"/>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7"/>
    <w:qFormat/>
    <w:uiPriority w:val="0"/>
    <w:rPr>
      <w:kern w:val="2"/>
      <w:sz w:val="21"/>
      <w:szCs w:val="24"/>
    </w:rPr>
  </w:style>
  <w:style w:type="character" w:customStyle="1" w:styleId="46">
    <w:name w:val="NormalCharacter"/>
    <w:qFormat/>
    <w:uiPriority w:val="0"/>
  </w:style>
  <w:style w:type="character" w:customStyle="1" w:styleId="47">
    <w:name w:val="页脚 Char"/>
    <w:link w:val="14"/>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19"/>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0"/>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8078</Words>
  <Characters>8361</Characters>
  <Lines>102</Lines>
  <Paragraphs>28</Paragraphs>
  <TotalTime>29</TotalTime>
  <ScaleCrop>false</ScaleCrop>
  <LinksUpToDate>false</LinksUpToDate>
  <CharactersWithSpaces>9925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2022-06-07T03:56:22Z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8B1D6879D062496B9D816E737C25366D</vt:lpwstr>
  </property>
</Properties>
</file>