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单侧双通道内镜系统（UBE）</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val="en-US" w:eastAsia="zh-CN"/>
        </w:rPr>
        <w:t>单侧双通道内镜系统（UBE）</w:t>
      </w:r>
      <w:r>
        <w:rPr>
          <w:rFonts w:ascii="Times New Roman" w:hAnsi="Times New Roman"/>
          <w:color w:val="auto"/>
          <w:sz w:val="24"/>
        </w:rPr>
        <w:t>，兹以公告方式邀请符合要求的供应商参加比选。</w:t>
      </w:r>
    </w:p>
    <w:p>
      <w:pPr>
        <w:numPr>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val="en-US" w:eastAsia="zh-CN"/>
        </w:rPr>
        <w:t>单侧双通道内镜系统（UBE）</w:t>
      </w:r>
      <w:r>
        <w:rPr>
          <w:rFonts w:hint="eastAsia" w:ascii="Times New Roman" w:hAnsi="Times New Roman"/>
          <w:color w:val="auto"/>
          <w:sz w:val="24"/>
        </w:rPr>
        <w:t>采购项目</w:t>
      </w:r>
      <w:r>
        <w:rPr>
          <w:rFonts w:ascii="Times New Roman" w:hAnsi="Times New Roman"/>
          <w:bCs/>
          <w:color w:val="auto"/>
          <w:sz w:val="24"/>
        </w:rPr>
        <w:t>。</w:t>
      </w:r>
    </w:p>
    <w:p>
      <w:pPr>
        <w:numPr>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885"/>
        <w:gridCol w:w="2010"/>
        <w:gridCol w:w="214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单侧双通道内镜系统（UBE）</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1</w:t>
            </w:r>
            <w:r>
              <w:rPr>
                <w:rFonts w:hint="eastAsia" w:ascii="Times New Roman" w:hAnsi="Times New Roman"/>
                <w:color w:val="auto"/>
                <w:sz w:val="24"/>
                <w:lang w:eastAsia="zh-CN"/>
              </w:rPr>
              <w:t>套</w:t>
            </w:r>
          </w:p>
        </w:tc>
        <w:tc>
          <w:tcPr>
            <w:tcW w:w="20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28</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6</w:t>
      </w:r>
      <w:r>
        <w:rPr>
          <w:rFonts w:hint="eastAsia" w:ascii="Times New Roman" w:hAnsi="Times New Roman"/>
          <w:color w:val="auto"/>
          <w:sz w:val="24"/>
        </w:rPr>
        <w:t>月</w:t>
      </w:r>
      <w:r>
        <w:rPr>
          <w:rFonts w:hint="eastAsia" w:ascii="Times New Roman" w:hAnsi="Times New Roman"/>
          <w:color w:val="auto"/>
          <w:sz w:val="24"/>
          <w:lang w:val="en-US" w:eastAsia="zh-CN"/>
        </w:rPr>
        <w:t>10</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0</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7</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color w:val="auto"/>
          <w:sz w:val="32"/>
          <w:szCs w:val="32"/>
          <w:lang w:val="en-US" w:eastAsia="zh-CN"/>
        </w:rPr>
        <w:t>单侧双通道内镜系统（UBE）</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val="en-US" w:eastAsia="zh-CN"/>
        </w:rPr>
        <w:t>单侧双通道内镜系统（UBE）</w:t>
      </w:r>
      <w:r>
        <w:rPr>
          <w:rFonts w:ascii="Times New Roman" w:hAnsi="Times New Roman"/>
          <w:color w:val="auto"/>
          <w:sz w:val="24"/>
        </w:rPr>
        <w:t>，兹以公告方式邀请符合要求的供应商参加比选。</w:t>
      </w:r>
    </w:p>
    <w:p>
      <w:pPr>
        <w:numPr>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val="en-US" w:eastAsia="zh-CN"/>
        </w:rPr>
        <w:t>单侧双通道内镜系统（UBE）</w:t>
      </w:r>
      <w:r>
        <w:rPr>
          <w:rFonts w:hint="eastAsia" w:ascii="Times New Roman" w:hAnsi="Times New Roman"/>
          <w:color w:val="auto"/>
          <w:sz w:val="24"/>
        </w:rPr>
        <w:t>采购项目</w:t>
      </w:r>
      <w:r>
        <w:rPr>
          <w:rFonts w:ascii="Times New Roman" w:hAnsi="Times New Roman"/>
          <w:bCs/>
          <w:color w:val="auto"/>
          <w:sz w:val="24"/>
        </w:rPr>
        <w:t>。</w:t>
      </w:r>
    </w:p>
    <w:p>
      <w:pPr>
        <w:numPr>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51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945"/>
        <w:gridCol w:w="1995"/>
        <w:gridCol w:w="22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单侧双通道内镜系统（UBE）</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1</w:t>
            </w:r>
            <w:r>
              <w:rPr>
                <w:rFonts w:hint="eastAsia" w:ascii="Times New Roman" w:hAnsi="Times New Roman"/>
                <w:color w:val="auto"/>
                <w:sz w:val="24"/>
                <w:lang w:eastAsia="zh-CN"/>
              </w:rPr>
              <w:t>套</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28</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6</w:t>
      </w:r>
      <w:r>
        <w:rPr>
          <w:rFonts w:hint="eastAsia" w:ascii="Times New Roman" w:hAnsi="Times New Roman"/>
          <w:color w:val="auto"/>
          <w:sz w:val="24"/>
        </w:rPr>
        <w:t>月</w:t>
      </w:r>
      <w:r>
        <w:rPr>
          <w:rFonts w:hint="eastAsia" w:ascii="Times New Roman" w:hAnsi="Times New Roman"/>
          <w:color w:val="auto"/>
          <w:sz w:val="24"/>
          <w:lang w:val="en-US" w:eastAsia="zh-CN"/>
        </w:rPr>
        <w:t>10</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Cs/>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bookmarkStart w:id="49" w:name="_GoBack"/>
      <w:bookmarkEnd w:id="49"/>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0</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pStyle w:val="2"/>
      </w:pPr>
    </w:p>
    <w:p>
      <w:pPr>
        <w:rPr>
          <w:rFonts w:ascii="Times New Roman" w:hAnsi="Times New Roman"/>
          <w:b/>
          <w:color w:val="auto"/>
          <w:sz w:val="36"/>
          <w:szCs w:val="36"/>
        </w:rPr>
      </w:pPr>
      <w:bookmarkStart w:id="1" w:name="_Toc52036324"/>
    </w:p>
    <w:p>
      <w:pPr>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jc w:val="left"/>
        <w:textAlignment w:val="baseline"/>
        <w:rPr>
          <w:rFonts w:ascii="宋体" w:hAnsi="宋体" w:eastAsia="宋体"/>
          <w:b/>
          <w:bCs/>
          <w:sz w:val="32"/>
          <w:szCs w:val="32"/>
        </w:rPr>
      </w:pPr>
      <w:bookmarkStart w:id="2" w:name="_Toc233048245"/>
      <w:bookmarkStart w:id="3" w:name="_Toc350964160"/>
      <w:r>
        <w:rPr>
          <w:rFonts w:hint="eastAsia" w:ascii="宋体" w:hAnsi="宋体"/>
          <w:b/>
          <w:bCs/>
          <w:sz w:val="32"/>
          <w:szCs w:val="32"/>
          <w:lang w:eastAsia="zh-CN"/>
        </w:rPr>
        <w:t>一、</w:t>
      </w:r>
      <w:r>
        <w:rPr>
          <w:rFonts w:ascii="宋体" w:hAnsi="宋体" w:eastAsia="宋体"/>
          <w:b/>
          <w:bCs/>
          <w:sz w:val="32"/>
          <w:szCs w:val="32"/>
        </w:rPr>
        <w:t>技术参数</w:t>
      </w:r>
    </w:p>
    <w:p>
      <w:pPr>
        <w:jc w:val="center"/>
        <w:rPr>
          <w:rFonts w:asciiTheme="minorEastAsia" w:hAnsiTheme="minorEastAsia"/>
          <w:b/>
          <w:sz w:val="28"/>
          <w:szCs w:val="28"/>
        </w:rPr>
      </w:pPr>
      <w:r>
        <w:rPr>
          <w:rFonts w:hint="eastAsia" w:asciiTheme="minorEastAsia" w:hAnsiTheme="minorEastAsia"/>
          <w:b/>
          <w:sz w:val="28"/>
          <w:szCs w:val="28"/>
        </w:rPr>
        <w:t>单侧双通道脊柱微创手术器械包技术参数</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一）总体要求</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1、器械包适用于治疗椎间盘突出、中央管狭窄、侧隐窝狭窄、椎间孔狭窄、极外侧间盘突出、退行性滑號、腰雄翻修病例、神经根型颈椎病、脊髓型颈椎病、胸椎病椎间融合等。</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2、器械包各类器械可高温高压消毒。</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二）脊柱微创手术器械包具体参数</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1、通道扩张器械：主要用于建立扩张器械、出水通道，扩大手术视野。</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1)直径4mm,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2)外径6mm,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3)外径8mm，1把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4)外径10mm，1把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5)直径4mm,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6)外径6mm,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7)外径8mm,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8)外径10mm,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9)外径10mm,半套管,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10)外径10mm,半套管,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11)外径10mm，半套管，1把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12)直径10mm,融合用通道扩张，1把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13)直径12mm,融合用通道扩张，1把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14)直径14mm,融合用通道扩张，1把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2、剥离器用于剥离或分开附着于骨面上的骨膜及软组织分离。</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1)直径9mm,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3、拉钩，用于骨科手术中剥离、牵开或遮挡神经根。</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1)折弯长度100mm,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2)折弯长度80mm,尖齿，1把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3)折弯长度60mm,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4)折弯长度80mm,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5)折弯长度80mm,左弯,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6)折弯长度80mm,右弯,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7)直径16mm,左弯,用于置入融合器，1把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8)直径16mm，右弯，用于置入融合器，1把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9)直径16mm,左弯,用于置入融合器，1把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10)直径16mm,右弯,用于置入融合器，1把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4、剥离子用于剥离或分开附着于骨面上的骨膜及软组织。</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1)刃宽3mm,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2)刃宽4mm,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3)刃宽5mm,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4)刃宽3mm, 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5)刃宽6mm,左标，1把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6)刃宽6mm,右标，1把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5、保护器: 用于磨钻时保护</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1)内径7mm,小弯，1个</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2)内径7mm,大弯，1个</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6、拉勾: 用于观察通道</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1)内径7mm,长, 1个</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2)内径7mm,短, 1个</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7、凿：手术时修整骨骼,取骨和凿骨</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1)曲棍球型，左开刃口，1根</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2)曲棍球型，右开刃口，1根</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3)上翘型, 刃宽4mm 1根，</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4)直型，刃宽4mm，1根</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5)椎间盘铰刀:杆长95mm,刃宽5mm，1把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8、咬骨钳:</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1)直型，刃口角度110°, 刃宽2mm/3mm/4mm，各1把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2)直型，刃口角度130°,刃宽2mm/3mm/4mm，各1把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3)弧形，刃口角度130°，刃宽2mm/3mm，各1把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9、髓核钳:</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1)直型，刃宽2mm/3mm/4mm，各1把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2)上翘型, 刃宽2mm/3mm/4mm，各1把</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10、扩张通道器械: 用于观察通道,同时有神经拉钩作用</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1)外径6mm,长度115mm, 1支</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2)外径6mm,长度120mm, 1支</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11、引针：用于手术过程中建立通道时的引导或定位</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1)长度125mm, 1支</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2)长度130mm， 1支</w:t>
      </w:r>
    </w:p>
    <w:p>
      <w:pPr>
        <w:spacing w:line="360" w:lineRule="auto"/>
        <w:jc w:val="left"/>
        <w:textAlignment w:val="baseline"/>
        <w:rPr>
          <w:rFonts w:hint="eastAsia" w:ascii="宋体" w:hAnsi="宋体"/>
          <w:b/>
          <w:bCs/>
          <w:sz w:val="32"/>
          <w:szCs w:val="32"/>
          <w:lang w:eastAsia="zh-CN"/>
        </w:rPr>
      </w:pPr>
      <w:bookmarkStart w:id="4" w:name="_Toc520455383"/>
      <w:bookmarkStart w:id="5" w:name="_Toc52036325"/>
      <w:r>
        <w:rPr>
          <w:rFonts w:hint="eastAsia" w:ascii="宋体" w:hAnsi="宋体"/>
          <w:b/>
          <w:bCs/>
          <w:sz w:val="32"/>
          <w:szCs w:val="32"/>
          <w:lang w:eastAsia="zh-CN"/>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交货期：签订合同后90日内。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w:t>
      </w:r>
      <w:r>
        <w:rPr>
          <w:rFonts w:cs="Arial" w:asciiTheme="minorEastAsia" w:hAnsiTheme="minorEastAsia" w:eastAsiaTheme="minorEastAsia"/>
          <w:sz w:val="24"/>
          <w:szCs w:val="24"/>
        </w:rPr>
        <w:t>≥</w:t>
      </w:r>
      <w:r>
        <w:rPr>
          <w:rFonts w:hint="eastAsia" w:cs="Times New Roman" w:asciiTheme="minorEastAsia" w:hAnsiTheme="minorEastAsia" w:eastAsiaTheme="minorEastAsia"/>
          <w:color w:val="auto"/>
          <w:kern w:val="2"/>
          <w:sz w:val="24"/>
          <w:szCs w:val="24"/>
          <w:lang w:val="en-US" w:eastAsia="zh-CN" w:bidi="ar-SA"/>
        </w:rPr>
        <w:t>1年，在质保期内，所有的配件费、人工费、差旅费、运输费、搬运费等所有费用均由供应商承担。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40447267"/>
      <w:bookmarkStart w:id="7" w:name="_Toc52036326"/>
      <w:bookmarkStart w:id="8" w:name="_Toc33709793"/>
      <w:bookmarkStart w:id="9" w:name="_Toc33698132"/>
      <w:bookmarkStart w:id="10" w:name="_Toc34051805"/>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3698133"/>
      <w:bookmarkStart w:id="12" w:name="_Toc34051806"/>
      <w:bookmarkStart w:id="13" w:name="_Toc33709794"/>
      <w:bookmarkStart w:id="14" w:name="_Toc52036327"/>
      <w:bookmarkStart w:id="15" w:name="_Toc40447268"/>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4051807"/>
      <w:bookmarkStart w:id="17" w:name="_Toc40447269"/>
      <w:bookmarkStart w:id="18" w:name="_Toc33698134"/>
      <w:bookmarkStart w:id="19" w:name="_Toc52036328"/>
      <w:bookmarkStart w:id="20" w:name="_Toc33709795"/>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4051808"/>
      <w:bookmarkStart w:id="22" w:name="_Toc40447270"/>
      <w:bookmarkStart w:id="23" w:name="_Toc33698135"/>
      <w:bookmarkStart w:id="24" w:name="_Toc52036329"/>
      <w:bookmarkStart w:id="25" w:name="_Toc33709796"/>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385992"/>
      <w:bookmarkStart w:id="27" w:name="_Toc307564880"/>
      <w:bookmarkStart w:id="28" w:name="_Toc436820890"/>
      <w:bookmarkStart w:id="29" w:name="_Toc436410129"/>
      <w:bookmarkStart w:id="30" w:name="_Toc436404120"/>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293"/>
      <w:bookmarkStart w:id="32" w:name="_Toc503986838"/>
      <w:bookmarkStart w:id="33" w:name="_Toc503987104"/>
      <w:bookmarkStart w:id="34" w:name="_Toc503987183"/>
      <w:bookmarkStart w:id="35" w:name="_Toc503986415"/>
      <w:bookmarkStart w:id="36" w:name="_Toc503986971"/>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33698136"/>
      <w:bookmarkStart w:id="38" w:name="_Toc52036330"/>
      <w:bookmarkStart w:id="39" w:name="_Toc33709797"/>
      <w:bookmarkStart w:id="40" w:name="_Toc34051809"/>
      <w:bookmarkStart w:id="41" w:name="_Toc40447271"/>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33709798"/>
      <w:bookmarkStart w:id="43" w:name="_Toc34051810"/>
      <w:bookmarkStart w:id="44" w:name="_Toc40447272"/>
      <w:bookmarkStart w:id="45" w:name="_Toc52036331"/>
      <w:bookmarkStart w:id="46" w:name="_Toc33698137"/>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1D308BA"/>
    <w:rsid w:val="05FF7BD4"/>
    <w:rsid w:val="07093D55"/>
    <w:rsid w:val="0AFA5A96"/>
    <w:rsid w:val="0CD27FFC"/>
    <w:rsid w:val="0DAC4D70"/>
    <w:rsid w:val="0DDB44D7"/>
    <w:rsid w:val="0E677033"/>
    <w:rsid w:val="0E7F1957"/>
    <w:rsid w:val="13AE2691"/>
    <w:rsid w:val="16573B76"/>
    <w:rsid w:val="17122347"/>
    <w:rsid w:val="1A2B2E8E"/>
    <w:rsid w:val="1B4D05AA"/>
    <w:rsid w:val="1D9C3D81"/>
    <w:rsid w:val="1EAC4C7B"/>
    <w:rsid w:val="1F2324A2"/>
    <w:rsid w:val="1F42517D"/>
    <w:rsid w:val="1FDE786A"/>
    <w:rsid w:val="1FE2762F"/>
    <w:rsid w:val="20A2053B"/>
    <w:rsid w:val="20D54F08"/>
    <w:rsid w:val="247F6619"/>
    <w:rsid w:val="257874B5"/>
    <w:rsid w:val="29790E86"/>
    <w:rsid w:val="29A7364C"/>
    <w:rsid w:val="2A092A55"/>
    <w:rsid w:val="2A443FBA"/>
    <w:rsid w:val="2AA06533"/>
    <w:rsid w:val="2B356AFD"/>
    <w:rsid w:val="2C0B4C36"/>
    <w:rsid w:val="2F5D26AF"/>
    <w:rsid w:val="2FB70420"/>
    <w:rsid w:val="33D16649"/>
    <w:rsid w:val="35DF103A"/>
    <w:rsid w:val="3609706D"/>
    <w:rsid w:val="3BF758E5"/>
    <w:rsid w:val="3CE068D6"/>
    <w:rsid w:val="3D075CFC"/>
    <w:rsid w:val="3FCA2095"/>
    <w:rsid w:val="40F37FB8"/>
    <w:rsid w:val="420039D8"/>
    <w:rsid w:val="453A0EBB"/>
    <w:rsid w:val="4AB60164"/>
    <w:rsid w:val="4C2C6594"/>
    <w:rsid w:val="4D137AF0"/>
    <w:rsid w:val="4D194481"/>
    <w:rsid w:val="4F372CC3"/>
    <w:rsid w:val="50277BC9"/>
    <w:rsid w:val="5095081C"/>
    <w:rsid w:val="50D15CF8"/>
    <w:rsid w:val="50F862C3"/>
    <w:rsid w:val="51066F16"/>
    <w:rsid w:val="51AE40DC"/>
    <w:rsid w:val="5334236B"/>
    <w:rsid w:val="58BA1F78"/>
    <w:rsid w:val="5962566E"/>
    <w:rsid w:val="5A0852C7"/>
    <w:rsid w:val="5AAD383C"/>
    <w:rsid w:val="5DD8138D"/>
    <w:rsid w:val="5DEF0CB7"/>
    <w:rsid w:val="60C33E13"/>
    <w:rsid w:val="611E7ED2"/>
    <w:rsid w:val="64F34037"/>
    <w:rsid w:val="659F01D8"/>
    <w:rsid w:val="66C976CB"/>
    <w:rsid w:val="67F26159"/>
    <w:rsid w:val="68B977C1"/>
    <w:rsid w:val="69E4351C"/>
    <w:rsid w:val="6A4F2F1A"/>
    <w:rsid w:val="6A6764EA"/>
    <w:rsid w:val="6A6931C9"/>
    <w:rsid w:val="6B8A20A2"/>
    <w:rsid w:val="6C320399"/>
    <w:rsid w:val="6C755241"/>
    <w:rsid w:val="6D592E1C"/>
    <w:rsid w:val="6F514ADE"/>
    <w:rsid w:val="6F7264A0"/>
    <w:rsid w:val="6F833AC6"/>
    <w:rsid w:val="71175551"/>
    <w:rsid w:val="71593422"/>
    <w:rsid w:val="72B059E8"/>
    <w:rsid w:val="732C647B"/>
    <w:rsid w:val="746B3215"/>
    <w:rsid w:val="768444B8"/>
    <w:rsid w:val="79EB01B7"/>
    <w:rsid w:val="7A1B6C1E"/>
    <w:rsid w:val="7A351B2A"/>
    <w:rsid w:val="7AB732C5"/>
    <w:rsid w:val="7AB7598A"/>
    <w:rsid w:val="7AB931D5"/>
    <w:rsid w:val="7BE114B4"/>
    <w:rsid w:val="7C3F13C0"/>
    <w:rsid w:val="7D8D4B15"/>
    <w:rsid w:val="7E0D277C"/>
    <w:rsid w:val="7E604B3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4"/>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2"/>
    <w:qFormat/>
    <w:uiPriority w:val="0"/>
    <w:rPr>
      <w:b/>
      <w:bCs/>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3"/>
    <w:qFormat/>
    <w:uiPriority w:val="0"/>
    <w:rPr>
      <w:rFonts w:ascii="Calibri" w:hAnsi="Calibri"/>
      <w:b/>
      <w:bCs/>
      <w:kern w:val="44"/>
      <w:sz w:val="44"/>
      <w:szCs w:val="44"/>
    </w:rPr>
  </w:style>
  <w:style w:type="character" w:customStyle="1" w:styleId="30">
    <w:name w:val="标题 2 Char"/>
    <w:basedOn w:val="23"/>
    <w:link w:val="4"/>
    <w:qFormat/>
    <w:uiPriority w:val="0"/>
    <w:rPr>
      <w:rFonts w:ascii="Arial" w:hAnsi="Arial" w:eastAsia="黑体"/>
      <w:b/>
      <w:bCs/>
      <w:sz w:val="32"/>
      <w:szCs w:val="32"/>
    </w:rPr>
  </w:style>
  <w:style w:type="character" w:customStyle="1" w:styleId="31">
    <w:name w:val="标题 3 Char"/>
    <w:basedOn w:val="23"/>
    <w:link w:val="5"/>
    <w:qFormat/>
    <w:uiPriority w:val="0"/>
    <w:rPr>
      <w:rFonts w:ascii="Calibri" w:hAnsi="Calibri"/>
      <w:b/>
      <w:bCs/>
      <w:kern w:val="2"/>
      <w:sz w:val="32"/>
      <w:szCs w:val="32"/>
    </w:rPr>
  </w:style>
  <w:style w:type="character" w:customStyle="1" w:styleId="32">
    <w:name w:val="批注框文本 Char"/>
    <w:link w:val="13"/>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5"/>
    <w:qFormat/>
    <w:uiPriority w:val="0"/>
    <w:rPr>
      <w:kern w:val="2"/>
      <w:sz w:val="18"/>
      <w:szCs w:val="18"/>
    </w:rPr>
  </w:style>
  <w:style w:type="character" w:customStyle="1" w:styleId="35">
    <w:name w:val="正文文本缩进 Char"/>
    <w:link w:val="8"/>
    <w:qFormat/>
    <w:uiPriority w:val="0"/>
    <w:rPr>
      <w:kern w:val="2"/>
      <w:sz w:val="21"/>
      <w:szCs w:val="24"/>
    </w:rPr>
  </w:style>
  <w:style w:type="character" w:customStyle="1" w:styleId="36">
    <w:name w:val="批注主题 Char"/>
    <w:link w:val="20"/>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0"/>
    <w:qFormat/>
    <w:locked/>
    <w:uiPriority w:val="0"/>
    <w:rPr>
      <w:rFonts w:ascii="宋体" w:hAnsi="Courier New" w:cs="Courier New"/>
      <w:kern w:val="2"/>
      <w:sz w:val="21"/>
      <w:szCs w:val="21"/>
    </w:rPr>
  </w:style>
  <w:style w:type="character" w:customStyle="1" w:styleId="40">
    <w:name w:val="日期 Char"/>
    <w:link w:val="11"/>
    <w:qFormat/>
    <w:uiPriority w:val="0"/>
    <w:rPr>
      <w:kern w:val="2"/>
      <w:sz w:val="21"/>
      <w:szCs w:val="24"/>
    </w:rPr>
  </w:style>
  <w:style w:type="character" w:customStyle="1" w:styleId="41">
    <w:name w:val="正文文本 Char"/>
    <w:link w:val="2"/>
    <w:qFormat/>
    <w:uiPriority w:val="0"/>
    <w:rPr>
      <w:kern w:val="2"/>
      <w:sz w:val="21"/>
      <w:szCs w:val="24"/>
    </w:rPr>
  </w:style>
  <w:style w:type="character" w:customStyle="1" w:styleId="42">
    <w:name w:val="标题 Char"/>
    <w:link w:val="19"/>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7"/>
    <w:qFormat/>
    <w:uiPriority w:val="0"/>
    <w:rPr>
      <w:kern w:val="2"/>
      <w:sz w:val="21"/>
      <w:szCs w:val="24"/>
    </w:rPr>
  </w:style>
  <w:style w:type="character" w:customStyle="1" w:styleId="46">
    <w:name w:val="NormalCharacter"/>
    <w:qFormat/>
    <w:uiPriority w:val="0"/>
  </w:style>
  <w:style w:type="character" w:customStyle="1" w:styleId="47">
    <w:name w:val="页脚 Char"/>
    <w:link w:val="14"/>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2"/>
    <w:qFormat/>
    <w:uiPriority w:val="0"/>
    <w:rPr>
      <w:rFonts w:ascii="Calibri" w:hAnsi="Calibri"/>
      <w:kern w:val="2"/>
      <w:sz w:val="21"/>
      <w:szCs w:val="24"/>
    </w:rPr>
  </w:style>
  <w:style w:type="character" w:customStyle="1" w:styleId="51">
    <w:name w:val="正文文本缩进 Char1"/>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19"/>
    <w:qFormat/>
    <w:uiPriority w:val="0"/>
    <w:rPr>
      <w:rFonts w:asciiTheme="majorHAnsi" w:hAnsiTheme="majorHAnsi" w:cstheme="majorBidi"/>
      <w:b/>
      <w:bCs/>
      <w:kern w:val="2"/>
      <w:sz w:val="32"/>
      <w:szCs w:val="32"/>
    </w:rPr>
  </w:style>
  <w:style w:type="character" w:customStyle="1" w:styleId="55">
    <w:name w:val="正文文本缩进 2 Char"/>
    <w:basedOn w:val="23"/>
    <w:link w:val="12"/>
    <w:qFormat/>
    <w:uiPriority w:val="0"/>
    <w:rPr>
      <w:rFonts w:ascii="Calibri" w:hAnsi="Calibri"/>
      <w:kern w:val="2"/>
      <w:sz w:val="21"/>
      <w:szCs w:val="24"/>
    </w:rPr>
  </w:style>
  <w:style w:type="character" w:customStyle="1" w:styleId="56">
    <w:name w:val="日期 Char1"/>
    <w:basedOn w:val="23"/>
    <w:link w:val="11"/>
    <w:qFormat/>
    <w:uiPriority w:val="0"/>
    <w:rPr>
      <w:rFonts w:ascii="Calibri" w:hAnsi="Calibri"/>
      <w:kern w:val="2"/>
      <w:sz w:val="21"/>
      <w:szCs w:val="24"/>
    </w:rPr>
  </w:style>
  <w:style w:type="character" w:customStyle="1" w:styleId="57">
    <w:name w:val="批注文字 Char1"/>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0"/>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qFormat/>
    <w:uiPriority w:val="0"/>
    <w:rPr>
      <w:rFonts w:ascii="Calibri" w:hAnsi="Calibri"/>
      <w:kern w:val="2"/>
      <w:sz w:val="18"/>
      <w:szCs w:val="18"/>
    </w:rPr>
  </w:style>
  <w:style w:type="character" w:customStyle="1" w:styleId="66">
    <w:name w:val="批注框文本 Char1"/>
    <w:basedOn w:val="23"/>
    <w:link w:val="13"/>
    <w:qFormat/>
    <w:uiPriority w:val="0"/>
    <w:rPr>
      <w:rFonts w:ascii="Calibri" w:hAnsi="Calibri"/>
      <w:kern w:val="2"/>
      <w:sz w:val="18"/>
      <w:szCs w:val="18"/>
    </w:rPr>
  </w:style>
  <w:style w:type="character" w:customStyle="1" w:styleId="67">
    <w:name w:val="纯文本 Char2"/>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8665</Words>
  <Characters>9769</Characters>
  <Lines>102</Lines>
  <Paragraphs>28</Paragraphs>
  <TotalTime>1</TotalTime>
  <ScaleCrop>false</ScaleCrop>
  <LinksUpToDate>false</LinksUpToDate>
  <CharactersWithSpaces>11352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2022-06-07T03:31:00Z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A669410BF36C4638A44C3B03AC62D7D8</vt:lpwstr>
  </property>
</Properties>
</file>