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60" w:lineRule="exact"/>
        <w:jc w:val="center"/>
        <w:outlineLvl w:val="0"/>
        <w:rPr>
          <w:rFonts w:ascii="方正小标宋简体" w:hAnsi="方正小标宋简体"/>
          <w:b/>
          <w:bCs/>
          <w:kern w:val="36"/>
          <w:sz w:val="32"/>
          <w:szCs w:val="32"/>
        </w:rPr>
      </w:pPr>
      <w:bookmarkStart w:id="1" w:name="_GoBack"/>
      <w:bookmarkEnd w:id="1"/>
      <w:r>
        <w:rPr>
          <w:rFonts w:ascii="方正小标宋简体" w:hAnsi="方正小标宋简体"/>
          <w:b/>
          <w:bCs/>
          <w:kern w:val="36"/>
          <w:sz w:val="32"/>
          <w:szCs w:val="32"/>
        </w:rPr>
        <w:t>三台县人民医院</w:t>
      </w:r>
    </w:p>
    <w:p>
      <w:pPr>
        <w:widowControl/>
        <w:shd w:val="clear" w:color="auto" w:fill="FFFFFF"/>
        <w:autoSpaceDE w:val="0"/>
        <w:spacing w:line="560" w:lineRule="exact"/>
        <w:jc w:val="center"/>
        <w:outlineLvl w:val="0"/>
        <w:rPr>
          <w:rFonts w:ascii="方正小标宋简体" w:hAnsi="方正小标宋简体"/>
          <w:b/>
          <w:bCs/>
          <w:kern w:val="36"/>
          <w:sz w:val="32"/>
          <w:szCs w:val="32"/>
        </w:rPr>
      </w:pPr>
      <w:r>
        <w:rPr>
          <w:rFonts w:ascii="方正小标宋简体" w:hAnsi="方正小标宋简体"/>
          <w:b/>
          <w:bCs/>
          <w:kern w:val="36"/>
          <w:sz w:val="32"/>
          <w:szCs w:val="32"/>
        </w:rPr>
        <w:t>关于</w:t>
      </w:r>
      <w:r>
        <w:rPr>
          <w:rFonts w:hint="eastAsia" w:ascii="方正小标宋简体" w:hAnsi="方正小标宋简体"/>
          <w:b/>
          <w:bCs/>
          <w:kern w:val="36"/>
          <w:sz w:val="32"/>
          <w:szCs w:val="32"/>
          <w:lang w:eastAsia="zh-CN"/>
        </w:rPr>
        <w:t>门急诊综合住院综合楼会议系统</w:t>
      </w:r>
      <w:r>
        <w:rPr>
          <w:rFonts w:ascii="方正小标宋简体" w:hAnsi="方正小标宋简体"/>
          <w:b/>
          <w:bCs/>
          <w:kern w:val="36"/>
          <w:sz w:val="32"/>
          <w:szCs w:val="32"/>
        </w:rPr>
        <w:t>市场调查的公告</w:t>
      </w:r>
    </w:p>
    <w:p>
      <w:pPr>
        <w:widowControl/>
        <w:shd w:val="clear" w:color="auto" w:fill="FFFFFF"/>
        <w:autoSpaceDE w:val="0"/>
        <w:spacing w:line="560" w:lineRule="exact"/>
        <w:jc w:val="center"/>
        <w:outlineLvl w:val="0"/>
        <w:rPr>
          <w:rFonts w:hint="eastAsia" w:ascii="宋体" w:hAnsi="宋体" w:eastAsia="宋体" w:cs="宋体"/>
          <w:kern w:val="36"/>
          <w:sz w:val="28"/>
          <w:szCs w:val="28"/>
        </w:rPr>
      </w:pPr>
      <w:r>
        <w:rPr>
          <w:rFonts w:hint="eastAsia" w:ascii="宋体" w:hAnsi="宋体" w:eastAsia="宋体" w:cs="宋体"/>
          <w:kern w:val="36"/>
          <w:sz w:val="28"/>
          <w:szCs w:val="28"/>
        </w:rPr>
        <w:t xml:space="preserve"> </w:t>
      </w:r>
    </w:p>
    <w:p>
      <w:pPr>
        <w:pStyle w:val="6"/>
        <w:autoSpaceDE w:val="0"/>
        <w:spacing w:line="560" w:lineRule="exact"/>
        <w:ind w:firstLine="588" w:firstLineChars="21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因医院工作需要，经研究决定，拟对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门急诊住院综合楼学术厅会议系统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进行市场调研，公告如下：</w:t>
      </w:r>
    </w:p>
    <w:p>
      <w:pPr>
        <w:pStyle w:val="6"/>
        <w:autoSpaceDE w:val="0"/>
        <w:spacing w:line="560" w:lineRule="exact"/>
        <w:ind w:firstLine="588" w:firstLineChars="21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一、请有意参与的公司致电三台县人民医院采购办报名（不接受现场报名），报名电话：0816-5222252，报名时间：2022年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日至2022年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日8:00～12:00、14: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0～1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0（北京时间，法定节假日除外）。</w:t>
      </w:r>
    </w:p>
    <w:p>
      <w:pPr>
        <w:widowControl/>
        <w:shd w:val="clear" w:color="auto" w:fill="FFFFFF"/>
        <w:autoSpaceDE w:val="0"/>
        <w:spacing w:line="560" w:lineRule="exact"/>
        <w:ind w:firstLine="588" w:firstLineChars="21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二、市场调查需提交以下资料（所有资料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清晰可辨，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盖公司鲜章并按顺序装订好）：</w:t>
      </w:r>
    </w:p>
    <w:p>
      <w:pPr>
        <w:widowControl/>
        <w:shd w:val="clear" w:color="auto" w:fill="FFFFFF"/>
        <w:autoSpaceDE w:val="0"/>
        <w:spacing w:line="560" w:lineRule="exact"/>
        <w:ind w:firstLine="588" w:firstLineChars="21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1、公司资质；</w:t>
      </w:r>
    </w:p>
    <w:p>
      <w:pPr>
        <w:widowControl/>
        <w:shd w:val="clear" w:color="auto" w:fill="FFFFFF"/>
        <w:autoSpaceDE w:val="0"/>
        <w:spacing w:line="560" w:lineRule="exact"/>
        <w:ind w:firstLine="588" w:firstLineChars="21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法人代表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授权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（签字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、盖公章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）、法人及业务人员身份证复印件；</w:t>
      </w:r>
    </w:p>
    <w:p>
      <w:pPr>
        <w:widowControl/>
        <w:shd w:val="clear" w:color="auto" w:fill="FFFFFF"/>
        <w:autoSpaceDE w:val="0"/>
        <w:spacing w:line="560" w:lineRule="exact"/>
        <w:ind w:firstLine="588" w:firstLineChars="21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3、单位简介；</w:t>
      </w:r>
    </w:p>
    <w:p>
      <w:pPr>
        <w:widowControl/>
        <w:shd w:val="clear" w:color="auto" w:fill="FFFFFF"/>
        <w:autoSpaceDE w:val="0"/>
        <w:spacing w:line="560" w:lineRule="exact"/>
        <w:ind w:firstLine="588" w:firstLineChars="21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推荐产品的品牌、型号、具体参数及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用户名单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和价格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佐证材料（提供三台县人民医院的佐证资料无效）；</w:t>
      </w:r>
    </w:p>
    <w:p>
      <w:pPr>
        <w:widowControl/>
        <w:shd w:val="clear" w:color="auto" w:fill="FFFFFF"/>
        <w:autoSpaceDE w:val="0"/>
        <w:spacing w:line="560" w:lineRule="exact"/>
        <w:ind w:firstLine="588" w:firstLineChars="21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5、报价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含安装、运输、税金等所有费用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）</w:t>
      </w:r>
    </w:p>
    <w:p>
      <w:pPr>
        <w:widowControl/>
        <w:shd w:val="clear" w:color="auto" w:fill="FFFFFF"/>
        <w:autoSpaceDE w:val="0"/>
        <w:spacing w:line="560" w:lineRule="exact"/>
        <w:ind w:left="63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三、项目咨询人：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老师，咨询电话：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15983698615</w:t>
      </w:r>
    </w:p>
    <w:p>
      <w:pPr>
        <w:widowControl/>
        <w:shd w:val="clear" w:color="auto" w:fill="FFFFFF"/>
        <w:autoSpaceDE w:val="0"/>
        <w:spacing w:line="560" w:lineRule="exact"/>
        <w:ind w:left="0" w:leftChars="0" w:firstLine="638" w:firstLineChars="228"/>
        <w:jc w:val="left"/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四、因受疫情影响，本次市场调查资料须邮寄，请各供应商在2022年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日14:30前邮寄（顺丰快递）至三台县人民医院采购办（邹老师收，收件电话：0816-5222252）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邮件封面标注“</w:t>
      </w:r>
      <w:r>
        <w:rPr>
          <w:rFonts w:hint="eastAsia" w:ascii="宋体" w:hAnsi="宋体" w:eastAsia="宋体" w:cs="宋体"/>
          <w:kern w:val="36"/>
          <w:sz w:val="28"/>
          <w:szCs w:val="28"/>
          <w:lang w:eastAsia="zh-CN"/>
        </w:rPr>
        <w:t>门急诊综合住院综合楼会议系统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”。</w:t>
      </w:r>
    </w:p>
    <w:p>
      <w:pPr>
        <w:widowControl/>
        <w:shd w:val="clear" w:color="auto" w:fill="FFFFFF"/>
        <w:autoSpaceDE w:val="0"/>
        <w:spacing w:line="560" w:lineRule="exact"/>
        <w:ind w:left="63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五、清单及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基本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要求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附后</w:t>
      </w:r>
    </w:p>
    <w:p>
      <w:pPr>
        <w:ind w:firstLine="10560" w:firstLineChars="3300"/>
        <w:jc w:val="left"/>
        <w:rPr>
          <w:rFonts w:ascii="仿宋_GB2312" w:hAnsi="仿宋_GB2312"/>
          <w:color w:val="000000"/>
          <w:kern w:val="0"/>
          <w:sz w:val="32"/>
          <w:szCs w:val="3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>三台县人民医院</w:t>
      </w:r>
      <w:r>
        <w:rPr>
          <w:rFonts w:hint="eastAsia" w:ascii="仿宋_GB2312" w:hAnsi="仿宋_GB2312"/>
          <w:color w:val="000000"/>
          <w:kern w:val="0"/>
          <w:sz w:val="32"/>
          <w:szCs w:val="32"/>
        </w:rPr>
        <w:t>采购</w:t>
      </w:r>
      <w:r>
        <w:rPr>
          <w:rFonts w:ascii="仿宋_GB2312" w:hAnsi="仿宋_GB2312"/>
          <w:color w:val="000000"/>
          <w:kern w:val="0"/>
          <w:sz w:val="32"/>
          <w:szCs w:val="32"/>
        </w:rPr>
        <w:t xml:space="preserve">办 </w:t>
      </w:r>
    </w:p>
    <w:p>
      <w:pPr>
        <w:jc w:val="center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                                </w:t>
      </w:r>
      <w:r>
        <w:rPr>
          <w:rFonts w:ascii="仿宋_GB2312" w:hAnsi="仿宋_GB2312"/>
          <w:color w:val="000000"/>
          <w:kern w:val="0"/>
          <w:sz w:val="32"/>
          <w:szCs w:val="32"/>
        </w:rPr>
        <w:t>2022年</w:t>
      </w:r>
      <w:r>
        <w:rPr>
          <w:rFonts w:hint="eastAsia" w:ascii="仿宋_GB2312" w:hAnsi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_GB2312" w:hAnsi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ascii="仿宋_GB2312" w:hAnsi="仿宋_GB2312"/>
          <w:color w:val="000000"/>
          <w:kern w:val="0"/>
          <w:sz w:val="32"/>
          <w:szCs w:val="32"/>
        </w:rPr>
        <w:t>日</w:t>
      </w:r>
    </w:p>
    <w:p/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音响设备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清单</w:t>
      </w:r>
    </w:p>
    <w:tbl>
      <w:tblPr>
        <w:tblStyle w:val="3"/>
        <w:tblW w:w="12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980"/>
        <w:gridCol w:w="2760"/>
        <w:gridCol w:w="5304"/>
        <w:gridCol w:w="733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12寸全频扬声器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489585</wp:posOffset>
                  </wp:positionV>
                  <wp:extent cx="789305" cy="1135380"/>
                  <wp:effectExtent l="0" t="0" r="10795" b="762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类型：12英寸大功率2分频倒相式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频率范围（±3dB）：60Hz-20KHz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标称灵敏度（1w@1m）：98dB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最大音压：130dB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连续功率：400W/音乐功率：800W/峰值功率：1600W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标称阻抗（Ω）：8Ω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高音振膜材料：PEN环形聚乙烯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高低音磁铁材料：钕铁硼/铁氧体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低音盆架材料：Aluminium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高音驱动音圈：1.5"(38mm)/低音驱动音圈：3"(75mm)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18寸超低音扬声器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982345</wp:posOffset>
                  </wp:positionV>
                  <wp:extent cx="1082675" cy="1038860"/>
                  <wp:effectExtent l="0" t="0" r="3175" b="8890"/>
                  <wp:wrapNone/>
                  <wp:docPr id="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类型：无源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配置：低音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频率范围 (+/-3dB)：42-2kHz(BI-AMP)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频率响应 (-10 dB)：30-1.5kHz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灵敏度(2.83v/1m)：99dB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最大声压级 @1m：134dB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系统额定阻抗：8Ω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低音单元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额定阻抗：8Ω or 4Ω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低频电源 (re:AES2-2012)：800w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持续功率：800w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节目功率：1600w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峰值功率：3200w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输入端口：2xNL4(与speakON 兼容)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返听音箱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类型：2分频倒相式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频率范围 (+/-3dB)： 60Hz 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标称灵敏度 1W@/1M： 97dB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最大声压级 SPL @1M： 129dB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-1421765</wp:posOffset>
                  </wp:positionH>
                  <wp:positionV relativeFrom="paragraph">
                    <wp:posOffset>274955</wp:posOffset>
                  </wp:positionV>
                  <wp:extent cx="830580" cy="868680"/>
                  <wp:effectExtent l="0" t="0" r="7620" b="7620"/>
                  <wp:wrapNone/>
                  <wp:docPr id="3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峰值功率：1600W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标称阻抗(Ω)：8Ω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吸顶补声音箱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128270</wp:posOffset>
                  </wp:positionV>
                  <wp:extent cx="1203960" cy="647700"/>
                  <wp:effectExtent l="0" t="0" r="15240" b="0"/>
                  <wp:wrapNone/>
                  <wp:docPr id="4" name="Picture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0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二分频全频音箱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频率响应：45Hz-20kHz(-10dB);55Hz-20kHz(+/-3dB)；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灵敏度：90dB/1watt/1meter;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最大声压级：115dB；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专业功率放大器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1414145</wp:posOffset>
                  </wp:positionV>
                  <wp:extent cx="1104900" cy="419100"/>
                  <wp:effectExtent l="0" t="0" r="0" b="0"/>
                  <wp:wrapNone/>
                  <wp:docPr id="5" name="Picture_17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77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立体声功率8Ω：950W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立体声功率4Ω：1500W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桥接模式8Ω：2400W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频率响应(1W)：20Hz-20kHz，+0/-1dB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总谐波失真(THD)：＜0.5%，20Hz-20KHz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互调失真(IMD)：≤0.35%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转换速率：＞10V/us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电压增益：41dB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阻尼系数(8Ω)，10Hz-400Hz：&gt;200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信噪比：＞100dB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串扰：-75dB（1KHz），-59dB（20KHz）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输入灵敏度(额定功率8Ω)：0.775Vor1.4V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输入阻抗(额定)：20KΩ（平衡），10KΩ（非平衡）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输入连接器：每通道一路平衡XLR及一路非平衡RCA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输出连接器：每通道4-POLE Speakon?及一对接线柱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保护：防止短路、空载、开/关机噪音、无线电干扰保护电路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返听功放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立体声功率8Ω：700W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立体声功率4Ω：1100W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桥接模式8Ω：1800W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频率响应(1W)：20Hz-20kHz，+0/-1dB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-1464310</wp:posOffset>
                  </wp:positionH>
                  <wp:positionV relativeFrom="paragraph">
                    <wp:posOffset>1129030</wp:posOffset>
                  </wp:positionV>
                  <wp:extent cx="1104900" cy="419100"/>
                  <wp:effectExtent l="0" t="0" r="0" b="0"/>
                  <wp:wrapNone/>
                  <wp:docPr id="6" name="Picture_177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7763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总谐波失真(THD)：＜0.5%，20Hz-20KHz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互调失真(IMD)：≤0.35%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转换速率：＞10V/us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电压增益：39.5dB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阻尼系数(8Ω)，10Hz-400Hz：&gt;200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信噪比：＞100dB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串扰：-75dB（1KHz），-59dB（20KHz）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输入灵敏度(额定功率8Ω)：0.775Vor1.4V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输入阻抗(额定)：20KΩ（平衡），10KΩ（非平衡）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输入连接器：每通道一路平衡XLR及一路非平衡RCA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输出连接器：每通道4-POLE Speakon?及一对接线柱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专业功率放大器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607695</wp:posOffset>
                  </wp:positionV>
                  <wp:extent cx="1104900" cy="419100"/>
                  <wp:effectExtent l="0" t="0" r="0" b="0"/>
                  <wp:wrapNone/>
                  <wp:docPr id="7" name="Picture_177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7763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立体声功率4Ω≥2250W；立体声功率8Ω≥1400W；桥接模式8Ω≥3300W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频率响应(1 W)：20Hz - 20kHz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总谐波失真 (THD)：&lt; 0.5%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互调失真(IMD)： ≤ 0.35%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转换速率：&gt;10V/us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电压增益&gt;42.5dB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阻尼系数  &gt; 200，信噪比：&gt; 100 dB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3进6出音频处理器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953770</wp:posOffset>
                  </wp:positionV>
                  <wp:extent cx="1019175" cy="219075"/>
                  <wp:effectExtent l="0" t="0" r="9525" b="9525"/>
                  <wp:wrapNone/>
                  <wp:docPr id="8" name="图片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输入通道：3路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输出通道：6路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频率响应：20Hz-20KHz，-0.3dBu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信噪比：&gt;115dBu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失真度：&lt;0.005at1KHz（0dBu）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串音：&lt;100dB below full scale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输入输出类型：平衡时XLR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最大输入电平：+18dBu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最大输出电平：+20dBu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输入阻抗：1M/Ω Stereo；500KΩ/MONO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输出阻抗：&lt;500Ω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494030</wp:posOffset>
                  </wp:positionV>
                  <wp:extent cx="1149350" cy="1083945"/>
                  <wp:effectExtent l="0" t="0" r="12700" b="1905"/>
                  <wp:wrapNone/>
                  <wp:docPr id="9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16路高性能模拟麦克风输入，包含4个Combo输入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16段高精度主输出电平表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9个100mm行程的优质电动滑杆电位器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8个可自定义的平衡输出口, 8个Insert输出口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1个31段图示均衡器，2个效果器总线，共2个回声和1个混响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4个单声道AUX总线，4个立体声GROUP总线,主输出L/R和立体声监听耳机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 USB支持播放、录音、系统更新、及场景导入导出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10.1寸1280X800像素高清IPS触摸屏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 扩展插槽，可选配蓝牙, DANTE和AES/EBU等多种模块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RS232支持中控系统接入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支持IPAD远程遥控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支持中文操作系统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支持MP3,AAC,WAV,FLAC,APE等格式的音源播放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会议主机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2376170</wp:posOffset>
                  </wp:positionV>
                  <wp:extent cx="936625" cy="509905"/>
                  <wp:effectExtent l="0" t="0" r="15875" b="4445"/>
                  <wp:wrapNone/>
                  <wp:docPr id="1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频道组数：四通道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面板显示：液晶显示屏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振荡模式：数字频率合成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射频稳定度：±5ppm（零下5-50℃）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载波频段：640.125MHZ-690.000MHZ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频带宽度：50（6.25*4*2）MHZ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频率间隔：125KHZ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可切换频率数：50个/每通道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操作方式：手动调整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接收方式：分集式双接收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灵敏度：-105dBM（12dB S/N）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最大偏移度：45KHZ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综合S/N比：＞105dB（1KHz-A）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综合失真度：≤0.5%@1KHz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综合频率响应：60Hz-16KHz（±3dB）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最大输出电平：XLR平衡式插座独立输出LEVEL：320mV(RMS）/600Ω，φ6.3；非平衡式插座混合输出LEVEL：340mV（RMS）/5KΩ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音量输出调整：输出电平可随意调整无阻隔接收距离：无障碍阻隔接收距离约40米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DC电源：1A 12V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振荡模式：数字频率合成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载波频率：640.125MHz-690.000MHz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频带宽度：50MHz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可调频率：400个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调频方式：红外对频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输出功率：+ 15dBm ( max 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射频稳定性：±5ppm（零下5℃ - 50℃）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最大偏移：±100KHz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显示屏：有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拾音头：心型电容咪芯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供电方式：2节AA电池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电池寿命：约8小时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代表单元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398145</wp:posOffset>
                  </wp:positionV>
                  <wp:extent cx="492125" cy="737235"/>
                  <wp:effectExtent l="0" t="0" r="3175" b="5715"/>
                  <wp:wrapNone/>
                  <wp:docPr id="11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1、数字会议代表单元，数字信号处理,可拆卸话筒设计；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2、环路，菊链式连接；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3、不少于2个RJ45接口用会议单元连接，且输入输出自定义；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4、故障安全冗余技术，隐藏的会议总线连接；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5、音频质量水劣于16bit数字信号。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6、具有极强的抗手机信号干扰；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7、当麦克风关闭时，光环形熄灭（不透明）；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8、尺寸不小于30cm。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643255</wp:posOffset>
                  </wp:positionV>
                  <wp:extent cx="1205230" cy="244475"/>
                  <wp:effectExtent l="0" t="0" r="13970" b="3175"/>
                  <wp:wrapNone/>
                  <wp:docPr id="1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1、采用多功能一体化设计，1U机箱；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2、设备级联接口采用RJ45网头设计，支持设备多台级联；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3、支持RS232/RS485串口输入控制；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4、支持串口指令每通道独立控制和时序控制；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5、内置滤波器；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6、支持无源消防信号启动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、可控路数：8路；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693420</wp:posOffset>
                  </wp:positionV>
                  <wp:extent cx="1261745" cy="483235"/>
                  <wp:effectExtent l="0" t="0" r="14605" b="12065"/>
                  <wp:wrapNone/>
                  <wp:docPr id="13" name="Picture_18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184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真分集电路设计，四天线信号接收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使用距离约80米（实际距离与使用环境有关）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频率范围：686-790MHz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射频产生方式锁相环频率合成器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射频带宽104MHz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射频频率精度+/- 20ppm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频道数351个（左右相同）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使用温度摄氏零下10度到摄氏40度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音频频率响应40Hz-18KHz（电路部分）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系统信噪比&gt;100dB（A计权）（最大输出时）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系统总谐波失真 &lt; 0.5%/1KHz（300mV输出时）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接收方式DQPSK模式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分集方式数字双核模式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灵敏度 -95dBm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谐波失真&lt;0.5%/1KHz（300mV输出）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显示方式LCD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供电方式DC12V 500mA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音频输出方式两路平衡XLR /一路混合输出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通道： 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发射器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动态范围&gt;90dB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输出功率10mW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显示方式LCD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消耗电流&lt;180mA/3V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供电方式AA1.5VX2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使用时间约6小时（和电池品质有关）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拾音头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换能方式动圈式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拾音模式超心型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灵敏度&lt;-55dB±3dB(0dB=1V/Par a t 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最大声压级&gt;105dB SPL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返听音箱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类型：2分频倒相式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频率范围 (+/-3dB)： 60Hz 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标称灵敏度 1W@/1M： 97dB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最大声压级 SPL @1M： 129dB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水平覆盖角：100°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垂直覆盖角：70°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连续功率：400W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音乐功率：800W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峰值功率：1600W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标称阻抗(Ω)：8Ω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高音振膜材料：PEI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高低音磁铁材料：NdFeB/铁氧体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低音盆架材料：Aluminium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高音驱动音圈：1.5"(38mm)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低音驱动音圈：3"(75mm)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分频点：2.0KHz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支架接口：有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专业音箱线，无氧铜材质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（以实际为准）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吊挂件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音箱专用吊挂件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卡侬信号线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贝尔头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专业音箱接插头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600*600*1800豪华机柜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/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多功能厅</w:t>
      </w:r>
      <w:r>
        <w:rPr>
          <w:rFonts w:hint="eastAsia"/>
          <w:b/>
          <w:bCs/>
          <w:sz w:val="36"/>
          <w:szCs w:val="44"/>
        </w:rPr>
        <w:t>LED高清</w:t>
      </w:r>
      <w:r>
        <w:rPr>
          <w:rFonts w:hint="eastAsia"/>
          <w:b/>
          <w:bCs/>
          <w:sz w:val="36"/>
          <w:szCs w:val="44"/>
          <w:lang w:eastAsia="zh-CN"/>
        </w:rPr>
        <w:t>屏</w:t>
      </w:r>
      <w:r>
        <w:rPr>
          <w:rFonts w:hint="eastAsia"/>
          <w:b/>
          <w:bCs/>
          <w:sz w:val="36"/>
          <w:szCs w:val="44"/>
        </w:rPr>
        <w:t>室内</w:t>
      </w:r>
      <w:r>
        <w:rPr>
          <w:rFonts w:hint="eastAsia"/>
          <w:b/>
          <w:bCs/>
          <w:sz w:val="36"/>
          <w:szCs w:val="44"/>
          <w:lang w:eastAsia="zh-CN"/>
        </w:rPr>
        <w:t>配置参数</w:t>
      </w:r>
    </w:p>
    <w:tbl>
      <w:tblPr>
        <w:tblStyle w:val="3"/>
        <w:tblW w:w="144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25"/>
        <w:gridCol w:w="1290"/>
        <w:gridCol w:w="894"/>
        <w:gridCol w:w="9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室内P1.538全彩显示屏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平方米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15.05</w:t>
            </w:r>
          </w:p>
        </w:tc>
        <w:tc>
          <w:tcPr>
            <w:tcW w:w="9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像素点间距:≤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1.538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尺寸：6720mm*2240mm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分辨率：208点×104点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3.模组点密度：≥42250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点/ m²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4.模组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尺寸(mm)：320*160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5.平整度≤0.1mm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6.亮度≥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cd/㎡,0-100%任意可调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7.对比度：≥9000:1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8.低灰高亮：100%亮度时，16bit灰度；70%亮度时，16bit灰度；50%亮度时，13bit灰度；20%亮度时，12bit灰度。9.LED显示屏画面延迟≤500ns，；画面信噪比≥60dB；10.可视角度：水平≥1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°，垂直≥1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0°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11.电流增益调节级别≥8 位、电流增益调节范围 1%～199%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12.显示亮度模式调节：支持 0-255 级灰度调节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13.具备防碰撞焊盘技术 LED ，支持模组级的LED 灯防撞灯保护装置，符合GB/T20138-2006/IEC62262:2002 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14.力学性能：拉伸强度≥200Pa；屈服强度≥170Pa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15.纵向拉伸承载力≥2吨；横向拉伸承载力≥2吨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16.坏点监测：具有坏点监测功能，自动告警，方便快速维护。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17.相对错位值：1、平整度等级，P≤0.5；2、像素中心距相对偏差等级，JX≤5%； 3、水平相对错位等级，CS≤5%；4、垂直相对错位等级，CC≤5%；5、模组间相对错位值均≤0.1mm；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18.内部线材使用使用低烟无卤素环保线材，套件材料采用采用聚碳酸酯和玻璃纤维材质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19.像素点失控（坏点或盲点）率：整屏像素失控率符合 SJ/T 11141-2017 标准 C 级； PZ≤1×10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，区域像素失控率符合 SJ/T 11141-2017 标准 C 级； PQ≤1×10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20.平均无故障测试：平均失效间隔工作时间≥100000h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平均故障恢复</w:t>
            </w:r>
            <w:r>
              <w:rPr>
                <w:rFonts w:hint="eastAsia" w:ascii="宋体" w:hAnsi="宋体" w:eastAsia="宋体" w:cs="宋体"/>
                <w:color w:val="auto"/>
                <w:spacing w:val="-22"/>
                <w:sz w:val="21"/>
                <w:szCs w:val="21"/>
                <w:highlight w:val="none"/>
              </w:rPr>
              <w:t>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（MTTR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小于2分钟。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21.为确保大屏通讯的安全与稳定，屏体控制器与屏体之间有信号加密传讯的安全与稳定，屏体控制器与屏体之间有信号加密传输功能。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22.对地漏电流：电源线对金属外框间的对地漏电流不大于3.5mA/㎡（交流有效值）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23.防碰撞功能：具备防碰撞焊盘技术LED，支持模组级的LED灯防撞灯保护装置，符合GB/T20138-2006/IEC62262:2002要求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24.多点测温控制：具有多点测温功能，防止温度过高造成色彩漂移，提高屏体寿命。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25.一体化控制平台功能，模块化统一管理，可对所有的LED显示模块进行统一管理，设置亮度，色温，灰度等参数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26.信号传输及接口支持：采用数字化网络传输技术或标准化HDCP传输技术，支持Tyte-C接口、光纤接口或者HDCP协议的接口实现5G大带载带宽传输,可支持包含但不限于SDI/VGA/DVI/HDMI/RGBHV/CVBS/DP/HD Base-T/光纤/网络等接口/复合视频信号/HDTV输入/控制系信号UART及10/100/1000M自适应接口、ZigBee、6LoWPAN。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27.掉电存储功能：支持掉电存储功能，不丢失数据，上电自动恢复，无需重复配置。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支持电源均流 DC4.2V~DC5V 及电源双输出电压 DC2.8V/DC3.8V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支持采用双供电技术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29.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多层印刷电路板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：支持 2 层，4 层，6 层,8 层，10 层设计。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30.支持采用双系统备份，两套发送卡和两套接 收卡互为备份方式，任一套发送卡和接收卡故障不影响屏体正常显示。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31.支持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色准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△E≤0.9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32.具备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SELV 电路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设计。</w:t>
            </w:r>
          </w:p>
          <w:p>
            <w:pPr>
              <w:pStyle w:val="8"/>
              <w:spacing w:before="39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33.支持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一体化控制平台，模块化统一管理，可对所有的 LED 显示模块进行统一管理，设置亮度， 色温，灰度等参数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before="2" w:line="242" w:lineRule="auto"/>
              <w:ind w:left="425" w:leftChars="0" w:right="-29" w:rightChars="0" w:hanging="425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1为保证系统兼容性，电源采用与显示屏同一品牌</w:t>
            </w:r>
          </w:p>
          <w:p>
            <w:pPr>
              <w:pStyle w:val="8"/>
              <w:numPr>
                <w:ilvl w:val="0"/>
                <w:numId w:val="3"/>
              </w:numPr>
              <w:spacing w:before="2" w:line="242" w:lineRule="auto"/>
              <w:ind w:left="425" w:leftChars="0" w:right="-29" w:rightChars="0" w:hanging="425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LED专用电源，输出电压/电流：4.5V.0~40A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98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接收卡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="2" w:line="242" w:lineRule="auto"/>
              <w:ind w:leftChars="0" w:right="-29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1.集成 16个标准HUB75 接口，免接HUB；</w:t>
            </w:r>
          </w:p>
          <w:p>
            <w:pPr>
              <w:pStyle w:val="8"/>
              <w:numPr>
                <w:ilvl w:val="0"/>
                <w:numId w:val="0"/>
              </w:numPr>
              <w:spacing w:before="2" w:line="242" w:lineRule="auto"/>
              <w:ind w:leftChars="0" w:right="-29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2.支持 32 扫；</w:t>
            </w:r>
          </w:p>
          <w:p>
            <w:pPr>
              <w:pStyle w:val="8"/>
              <w:numPr>
                <w:ilvl w:val="0"/>
                <w:numId w:val="0"/>
              </w:numPr>
              <w:spacing w:before="2" w:line="242" w:lineRule="auto"/>
              <w:ind w:leftChars="0" w:right="-29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3.单卡输出 RGB 数据32组；</w:t>
            </w:r>
          </w:p>
          <w:p>
            <w:pPr>
              <w:pStyle w:val="8"/>
              <w:numPr>
                <w:ilvl w:val="0"/>
                <w:numId w:val="0"/>
              </w:numPr>
              <w:spacing w:before="2" w:line="242" w:lineRule="auto"/>
              <w:ind w:leftChars="0" w:right="-29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4.单卡带载像素为 512×256·；</w:t>
            </w:r>
          </w:p>
          <w:p>
            <w:pPr>
              <w:pStyle w:val="8"/>
              <w:numPr>
                <w:ilvl w:val="0"/>
                <w:numId w:val="0"/>
              </w:numPr>
              <w:spacing w:before="2" w:line="242" w:lineRule="auto"/>
              <w:ind w:leftChars="0" w:right="-29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5.支持配置文件回读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23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拥有完备的视频输入接口，1 路 HDMI 2.0，4 路 DVI，1 路 3G-SDI。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多输出，大带载，支持 16 路网口和 4 路光纤输出，带载高达 1040万像素。（提供CNAS第三方检测报告并加盖鲜章）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支持 HDR 输出，能够极大地增强显示屏的画质，使画面色彩更加真实生动，细节更加清晰。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支持个性化的画质缩放，支持三种画面缩放模式，包括点对点模式、全屏缩放、自定义缩放。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多窗口显示，支持 5 窗口任意布局。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支持预监输出画面，将预监内容通过 HDMI 发送到显示器显示。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支持智能控制软件进行操作控制。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支持逐点亮色度校正技术，校正过程快速高效，支持直接现场校正；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支持场景预设，最多可创建 10 个用户场景作为模板保存，可直接调用，方便使用。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支持 EDID 管理，支持用户自定义 EDID 和预设 EDID。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设备可一键开启或关闭对应图层显示，提供更灵活的操作手段，增强产品实用性能。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通过面板数字按键，可快速准确定义窗口大小位置等坐标信息，增强产品实用性能。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Hlk38752145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产品本身集成视频处理器与发送卡于一体。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54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配电柜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1.必需具备远程独立的操控能力，能同时实现多种上电控制方案；满足过流、短路、断路、过压、欠压等保护措施，具有远程监控和无人值守功能。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2.≤40KW,实现信号输出及时对大屏供电，中断信号及时对大屏断电；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3.内置继电器，分步对大屏各组电源进行上电；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4.采用定制配电控制箱确保电源正常通断实现对屏体电源的控制；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5.屏体用电的引入含线缆，屏体控制线缆的引入含线缆。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7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钢架结构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显示屏支撑钢架结构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7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包边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室内全彩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显示屏四周包边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cm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不锈钢材质一套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7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线材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类网线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、主电缆线等。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9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LED 显示屏安装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报价含设备的运输、安装、调试及辅材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</w:pPr>
    </w:p>
    <w:sectPr>
      <w:pgSz w:w="16838" w:h="11906" w:orient="landscape"/>
      <w:pgMar w:top="854" w:right="1440" w:bottom="55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5AD36"/>
    <w:multiLevelType w:val="singleLevel"/>
    <w:tmpl w:val="9205AD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F9D41BA"/>
    <w:multiLevelType w:val="singleLevel"/>
    <w:tmpl w:val="0F9D41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C19EAC"/>
    <w:multiLevelType w:val="singleLevel"/>
    <w:tmpl w:val="46C19E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A5F1DF5"/>
    <w:multiLevelType w:val="singleLevel"/>
    <w:tmpl w:val="7A5F1D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QxN2E5ZjUyZmE0M2NkMDhmMDZiOGJmMjg4MDMifQ=="/>
  </w:docVars>
  <w:rsids>
    <w:rsidRoot w:val="460572F8"/>
    <w:rsid w:val="030D1E91"/>
    <w:rsid w:val="12846B95"/>
    <w:rsid w:val="3AA456EF"/>
    <w:rsid w:val="3F7930D9"/>
    <w:rsid w:val="460572F8"/>
    <w:rsid w:val="58C44906"/>
    <w:rsid w:val="6B6A1C97"/>
    <w:rsid w:val="6F516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szCs w:val="22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Normal"/>
    <w:basedOn w:val="1"/>
    <w:qFormat/>
    <w:uiPriority w:val="0"/>
    <w:pPr>
      <w:widowControl/>
    </w:pPr>
    <w:rPr>
      <w:rFonts w:ascii="Calibri" w:hAnsi="Calibri" w:cs="Calib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rPr>
      <w:rFonts w:ascii="楷体" w:hAnsi="楷体" w:eastAsia="楷体" w:cs="楷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4509</Words>
  <Characters>6238</Characters>
  <Lines>0</Lines>
  <Paragraphs>0</Paragraphs>
  <TotalTime>0</TotalTime>
  <ScaleCrop>false</ScaleCrop>
  <LinksUpToDate>false</LinksUpToDate>
  <CharactersWithSpaces>6462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2022-09-09T06:43:00Z</dcterms:created>
  <dc:creator>车前子</dc:creator>
  <cp:lastModifiedBy>George </cp:lastModifiedBy>
  <dcterms:modified xsi:type="dcterms:W3CDTF">2022-09-16T06:53:58Z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E1FF34D4D9234D20B9D6C0D6E90AF5E3</vt:lpwstr>
  </property>
</Properties>
</file>