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洗地机</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洗地机</w:t>
      </w:r>
      <w:bookmarkStart w:id="52" w:name="_GoBack"/>
      <w:bookmarkEnd w:id="52"/>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洗地机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741"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813"/>
        <w:gridCol w:w="886"/>
        <w:gridCol w:w="201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洗地机</w:t>
            </w:r>
          </w:p>
        </w:tc>
        <w:tc>
          <w:tcPr>
            <w:tcW w:w="5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4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124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5.2</w:t>
            </w:r>
          </w:p>
        </w:tc>
        <w:tc>
          <w:tcPr>
            <w:tcW w:w="108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洗地机</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洗地机，</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洗地机</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77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812"/>
        <w:gridCol w:w="885"/>
        <w:gridCol w:w="201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49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4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3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111"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洗地机</w:t>
            </w:r>
          </w:p>
        </w:tc>
        <w:tc>
          <w:tcPr>
            <w:tcW w:w="49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4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1239"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5.2</w:t>
            </w:r>
          </w:p>
        </w:tc>
        <w:tc>
          <w:tcPr>
            <w:tcW w:w="1111" w:type="pct"/>
            <w:tcBorders>
              <w:left w:val="single" w:color="auto" w:sz="4" w:space="0"/>
              <w:right w:val="single" w:color="auto" w:sz="4" w:space="0"/>
            </w:tcBorders>
            <w:vAlign w:val="center"/>
          </w:tcPr>
          <w:p>
            <w:pPr>
              <w:pageBreakBefore w:val="0"/>
              <w:kinsoku/>
              <w:wordWrap/>
              <w:overflowPunct/>
              <w:topLinePunct w:val="0"/>
              <w:bidi w:val="0"/>
              <w:snapToGrid/>
              <w:spacing w:line="42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7法定代表人授权委托书；</w:t>
      </w:r>
    </w:p>
    <w:p>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7、法定代表人/单位负责人授权委托书（法定代表人/单位负责人或自然人直接参与投标的除外）。</w:t>
      </w:r>
    </w:p>
    <w:p>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10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4</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13</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2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2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2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20" w:lineRule="exact"/>
        <w:ind w:left="560" w:firstLine="0" w:firstLineChars="0"/>
        <w:contextualSpacing/>
        <w:textAlignment w:val="auto"/>
        <w:rPr>
          <w:rFonts w:ascii="Times New Roman" w:hAnsi="Times New Roman"/>
          <w:b/>
          <w:sz w:val="36"/>
          <w:szCs w:val="36"/>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rFonts w:ascii="Times New Roman" w:hAnsi="Times New Roman"/>
          <w:b/>
          <w:sz w:val="36"/>
          <w:szCs w:val="36"/>
        </w:rPr>
      </w:pPr>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cs="Times New Roman" w:asciiTheme="minorEastAsia" w:hAnsiTheme="minorEastAsia" w:eastAsiaTheme="minorEastAsia"/>
          <w:b/>
          <w:bCs/>
          <w:color w:val="auto"/>
          <w:kern w:val="2"/>
          <w:sz w:val="30"/>
          <w:szCs w:val="30"/>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1、外形尺寸:长度≤1800mm；宽度≤1050mm；高度≤1800mm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2、功能：洗刷吸三合一</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3、充电模式:手动充电</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4、电池类型:免维护锂电池</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5、电池容量:≥150AH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6、噪音:≤70dB</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7、爬坡能力:≥25%</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8、工作效率:≥ 3000㎡/h</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9、清洁宽度:600mm-800mm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10、吸水扒宽度:900-1050mm</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ascii="新宋体" w:hAnsi="新宋体" w:eastAsia="新宋体" w:cs="新宋体"/>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11、续航时间:≥4小时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12、清水容量:≥100L</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pPr>
      <w:r>
        <w:rPr>
          <w:rFonts w:hint="eastAsia" w:cs="Times New Roman" w:asciiTheme="minorEastAsia" w:hAnsiTheme="minorEastAsia" w:eastAsiaTheme="minorEastAsia"/>
          <w:color w:val="auto"/>
          <w:kern w:val="2"/>
          <w:sz w:val="24"/>
          <w:szCs w:val="24"/>
          <w:lang w:val="en-US" w:eastAsia="zh-CN" w:bidi="ar-SA"/>
        </w:rPr>
        <w:t>13、污水容量:≥100L</w:t>
      </w:r>
    </w:p>
    <w:p>
      <w:pPr>
        <w:spacing w:line="360" w:lineRule="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二、商务要求</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1、投标人需对洗地机易损件及常用耗材进行详细报价。</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2、交货期：合同签订后15日内完成安装调试并交付使用。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3、质保期：整机质保≥1年（含电瓶、电机等）。如国家或行业标准期限长于本项目质保期的，按国家或行业标准执行。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4、付款方式：安装调试完成、验收合格并收到发票后1个月内支付合同金额的95%，质保期满后设备无质量问题1个月内支付合同金额的5%。</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5、售后服务：保修期内接到报修电话半小时响应，4小时到达现场，24小时内恢复设备正常运行。所有人工费、材料费、差旅费等各种费用由中标方支付。</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6、本项目交付使用时中标方派专业技术人员对使用人员、管理人员进行培训，直至能独立操作，同时能完成一般常见故障的维修处理。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9"/>
    </w:p>
    <w:p>
      <w:pPr>
        <w:pStyle w:val="2"/>
        <w:rPr>
          <w:color w:val="auto"/>
        </w:rPr>
      </w:pPr>
    </w:p>
    <w:tbl>
      <w:tblPr>
        <w:tblStyle w:val="21"/>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79"/>
        <w:gridCol w:w="795"/>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56%</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56</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7</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8%</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8</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7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分，扣完为止。</w:t>
            </w:r>
          </w:p>
          <w:p>
            <w:pPr>
              <w:spacing w:line="0" w:lineRule="atLeast"/>
              <w:rPr>
                <w:rFonts w:ascii="宋体" w:hAnsi="宋体"/>
                <w:color w:val="auto"/>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709793"/>
      <w:bookmarkStart w:id="12" w:name="_Toc52036326"/>
      <w:bookmarkStart w:id="13" w:name="_Toc34051805"/>
      <w:bookmarkStart w:id="14" w:name="_Toc33698132"/>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33698134"/>
      <w:bookmarkStart w:id="22" w:name="_Toc40447269"/>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40447270"/>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820890"/>
      <w:bookmarkStart w:id="32" w:name="_Toc436385992"/>
      <w:bookmarkStart w:id="33" w:name="_Toc436410129"/>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7183"/>
      <w:bookmarkStart w:id="37" w:name="_Toc503987293"/>
      <w:bookmarkStart w:id="38" w:name="_Toc503986838"/>
      <w:bookmarkStart w:id="39" w:name="_Toc503987104"/>
      <w:bookmarkStart w:id="40"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709797"/>
      <w:bookmarkStart w:id="43" w:name="_Toc33698136"/>
      <w:bookmarkStart w:id="44" w:name="_Toc52036330"/>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40447272"/>
      <w:bookmarkStart w:id="48" w:name="_Toc33698137"/>
      <w:bookmarkStart w:id="49" w:name="_Toc34051810"/>
      <w:bookmarkStart w:id="50" w:name="_Toc52036331"/>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rPr>
        <w:t>易损件</w:t>
      </w:r>
      <w:r>
        <w:rPr>
          <w:rFonts w:hint="eastAsia" w:ascii="Times New Roman" w:hAnsi="Times New Roman" w:eastAsia="黑体"/>
          <w:b/>
          <w:sz w:val="32"/>
          <w:szCs w:val="32"/>
          <w:lang w:eastAsia="zh-CN"/>
        </w:rPr>
        <w:t>、</w:t>
      </w:r>
      <w:r>
        <w:rPr>
          <w:rFonts w:hint="eastAsia" w:ascii="Times New Roman" w:hAnsi="Times New Roman" w:eastAsia="黑体"/>
          <w:b/>
          <w:sz w:val="32"/>
          <w:szCs w:val="32"/>
        </w:rPr>
        <w:t>常用</w:t>
      </w:r>
      <w:r>
        <w:rPr>
          <w:rFonts w:hint="eastAsia" w:ascii="Times New Roman" w:hAnsi="Times New Roman" w:eastAsia="黑体"/>
          <w:b/>
          <w:sz w:val="32"/>
          <w:szCs w:val="32"/>
          <w:lang w:eastAsia="zh-CN"/>
        </w:rPr>
        <w:t>耗材</w:t>
      </w:r>
      <w:r>
        <w:rPr>
          <w:rFonts w:ascii="Times New Roman" w:hAnsi="Times New Roman" w:eastAsia="黑体"/>
          <w:b/>
          <w:sz w:val="32"/>
          <w:szCs w:val="32"/>
        </w:rPr>
        <w:t>报价表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center"/>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r>
              <w:rPr>
                <w:rFonts w:hint="eastAsia" w:ascii="Times New Roman" w:hAnsi="Times New Roman"/>
                <w:b/>
                <w:sz w:val="24"/>
              </w:rPr>
              <w:t>（</w:t>
            </w:r>
            <w:r>
              <w:rPr>
                <w:rFonts w:hint="eastAsia" w:ascii="Times New Roman" w:hAnsi="Times New Roman"/>
                <w:b/>
                <w:sz w:val="24"/>
                <w:lang w:eastAsia="zh-CN"/>
              </w:rPr>
              <w:t>万</w:t>
            </w:r>
            <w:r>
              <w:rPr>
                <w:rFonts w:hint="eastAsia" w:ascii="Times New Roman" w:hAnsi="Times New Roman"/>
                <w:b/>
                <w:sz w:val="24"/>
              </w:rPr>
              <w:t>元）</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lang w:eastAsia="zh-CN"/>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lang w:eastAsia="zh-CN"/>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1BD420B"/>
    <w:rsid w:val="04936845"/>
    <w:rsid w:val="066A2989"/>
    <w:rsid w:val="082E244F"/>
    <w:rsid w:val="098D5F59"/>
    <w:rsid w:val="0A382368"/>
    <w:rsid w:val="0AFA5A96"/>
    <w:rsid w:val="0B6010B4"/>
    <w:rsid w:val="0BF615DF"/>
    <w:rsid w:val="0CD27FFC"/>
    <w:rsid w:val="0D0F4ED6"/>
    <w:rsid w:val="0D350DE1"/>
    <w:rsid w:val="0DAC4D70"/>
    <w:rsid w:val="0E677033"/>
    <w:rsid w:val="0E7F1957"/>
    <w:rsid w:val="0EE428AF"/>
    <w:rsid w:val="14E84654"/>
    <w:rsid w:val="15200185"/>
    <w:rsid w:val="15304B56"/>
    <w:rsid w:val="17122347"/>
    <w:rsid w:val="17F6222D"/>
    <w:rsid w:val="18461C09"/>
    <w:rsid w:val="186D58D3"/>
    <w:rsid w:val="19A37076"/>
    <w:rsid w:val="1B266D2D"/>
    <w:rsid w:val="1B481CDF"/>
    <w:rsid w:val="1B4D05AA"/>
    <w:rsid w:val="1BAC4722"/>
    <w:rsid w:val="1BB678E7"/>
    <w:rsid w:val="1C281231"/>
    <w:rsid w:val="1C88336B"/>
    <w:rsid w:val="1E0A001A"/>
    <w:rsid w:val="1E9B5F74"/>
    <w:rsid w:val="1F1D0593"/>
    <w:rsid w:val="1F2324A2"/>
    <w:rsid w:val="1FAE4192"/>
    <w:rsid w:val="1FDE786A"/>
    <w:rsid w:val="20A2053B"/>
    <w:rsid w:val="20D54F08"/>
    <w:rsid w:val="20ED7DFF"/>
    <w:rsid w:val="21DF2C72"/>
    <w:rsid w:val="22CA3482"/>
    <w:rsid w:val="247F6619"/>
    <w:rsid w:val="26463681"/>
    <w:rsid w:val="271909D4"/>
    <w:rsid w:val="27457A1B"/>
    <w:rsid w:val="29226266"/>
    <w:rsid w:val="29A7364C"/>
    <w:rsid w:val="2A092A55"/>
    <w:rsid w:val="2B970CE2"/>
    <w:rsid w:val="2BD0497A"/>
    <w:rsid w:val="2BF11E95"/>
    <w:rsid w:val="2BFC0981"/>
    <w:rsid w:val="2D7C46D0"/>
    <w:rsid w:val="2DB54EEB"/>
    <w:rsid w:val="2F5D26AF"/>
    <w:rsid w:val="2FB70420"/>
    <w:rsid w:val="2FF22973"/>
    <w:rsid w:val="31B9528D"/>
    <w:rsid w:val="32CD2AF9"/>
    <w:rsid w:val="32E80129"/>
    <w:rsid w:val="33D16649"/>
    <w:rsid w:val="3410163B"/>
    <w:rsid w:val="344A6670"/>
    <w:rsid w:val="352C0BF7"/>
    <w:rsid w:val="35DF103A"/>
    <w:rsid w:val="3609706D"/>
    <w:rsid w:val="36F100CE"/>
    <w:rsid w:val="37164E99"/>
    <w:rsid w:val="37427AD3"/>
    <w:rsid w:val="3839273F"/>
    <w:rsid w:val="39202673"/>
    <w:rsid w:val="39761CB6"/>
    <w:rsid w:val="39A22AAB"/>
    <w:rsid w:val="3A445910"/>
    <w:rsid w:val="3A83468A"/>
    <w:rsid w:val="3A8F1371"/>
    <w:rsid w:val="3AAA1402"/>
    <w:rsid w:val="3ADD50BB"/>
    <w:rsid w:val="3BE1743B"/>
    <w:rsid w:val="3BF758E5"/>
    <w:rsid w:val="3C2B003B"/>
    <w:rsid w:val="3C455B7B"/>
    <w:rsid w:val="3C693B9A"/>
    <w:rsid w:val="3CE02C16"/>
    <w:rsid w:val="3CFC3046"/>
    <w:rsid w:val="3EA40C89"/>
    <w:rsid w:val="3F3026AC"/>
    <w:rsid w:val="3FDC7247"/>
    <w:rsid w:val="40F37FB8"/>
    <w:rsid w:val="42085A83"/>
    <w:rsid w:val="444F0625"/>
    <w:rsid w:val="45392515"/>
    <w:rsid w:val="45BE1E11"/>
    <w:rsid w:val="45EA0429"/>
    <w:rsid w:val="46D1677D"/>
    <w:rsid w:val="46FB0382"/>
    <w:rsid w:val="472C4F7A"/>
    <w:rsid w:val="478661AE"/>
    <w:rsid w:val="47EB6865"/>
    <w:rsid w:val="480706A9"/>
    <w:rsid w:val="497C50C6"/>
    <w:rsid w:val="499F23B8"/>
    <w:rsid w:val="49EF479F"/>
    <w:rsid w:val="4A9D70A2"/>
    <w:rsid w:val="4BC43E4C"/>
    <w:rsid w:val="4C2C6594"/>
    <w:rsid w:val="4C7D185E"/>
    <w:rsid w:val="4DD454D1"/>
    <w:rsid w:val="4E81291C"/>
    <w:rsid w:val="4F9B5B7A"/>
    <w:rsid w:val="50277BC9"/>
    <w:rsid w:val="50D15CF8"/>
    <w:rsid w:val="51066F16"/>
    <w:rsid w:val="51AE40DC"/>
    <w:rsid w:val="52075749"/>
    <w:rsid w:val="52095598"/>
    <w:rsid w:val="522B1438"/>
    <w:rsid w:val="522E717A"/>
    <w:rsid w:val="52B14033"/>
    <w:rsid w:val="533253F0"/>
    <w:rsid w:val="53455021"/>
    <w:rsid w:val="537A7089"/>
    <w:rsid w:val="538452A3"/>
    <w:rsid w:val="538A508B"/>
    <w:rsid w:val="53D63625"/>
    <w:rsid w:val="5422686A"/>
    <w:rsid w:val="55356E1A"/>
    <w:rsid w:val="55BE2D22"/>
    <w:rsid w:val="560501F2"/>
    <w:rsid w:val="568E6439"/>
    <w:rsid w:val="56B93C5A"/>
    <w:rsid w:val="56D330DE"/>
    <w:rsid w:val="578E0FAB"/>
    <w:rsid w:val="58360F93"/>
    <w:rsid w:val="58BA1F78"/>
    <w:rsid w:val="599D70BF"/>
    <w:rsid w:val="59B60181"/>
    <w:rsid w:val="5AA9706F"/>
    <w:rsid w:val="5AAD383C"/>
    <w:rsid w:val="5B505E97"/>
    <w:rsid w:val="5C866026"/>
    <w:rsid w:val="5DC20E2A"/>
    <w:rsid w:val="5DC40EC2"/>
    <w:rsid w:val="5DD8138D"/>
    <w:rsid w:val="5DEF0CB7"/>
    <w:rsid w:val="5E435D5B"/>
    <w:rsid w:val="5EBF7E2B"/>
    <w:rsid w:val="5F9B0133"/>
    <w:rsid w:val="611E7ED2"/>
    <w:rsid w:val="611F03B9"/>
    <w:rsid w:val="617A7CE6"/>
    <w:rsid w:val="624A3B5C"/>
    <w:rsid w:val="62892A63"/>
    <w:rsid w:val="64633872"/>
    <w:rsid w:val="659F01D8"/>
    <w:rsid w:val="66350708"/>
    <w:rsid w:val="6686620A"/>
    <w:rsid w:val="68871E97"/>
    <w:rsid w:val="68B977C1"/>
    <w:rsid w:val="692844CB"/>
    <w:rsid w:val="69B343B3"/>
    <w:rsid w:val="69CD4345"/>
    <w:rsid w:val="69DC778F"/>
    <w:rsid w:val="69E4351C"/>
    <w:rsid w:val="6A4F2F1A"/>
    <w:rsid w:val="6ABE0C43"/>
    <w:rsid w:val="6B8A20A2"/>
    <w:rsid w:val="6B8C2459"/>
    <w:rsid w:val="6BB8153D"/>
    <w:rsid w:val="6BDF60AB"/>
    <w:rsid w:val="6C320399"/>
    <w:rsid w:val="6C755241"/>
    <w:rsid w:val="6D50327E"/>
    <w:rsid w:val="6E671E41"/>
    <w:rsid w:val="6EA34B5F"/>
    <w:rsid w:val="6F514ADE"/>
    <w:rsid w:val="6F833AC6"/>
    <w:rsid w:val="6FA74BB9"/>
    <w:rsid w:val="6FD902CD"/>
    <w:rsid w:val="713951B9"/>
    <w:rsid w:val="71593422"/>
    <w:rsid w:val="727B1B10"/>
    <w:rsid w:val="72B059E8"/>
    <w:rsid w:val="732C647B"/>
    <w:rsid w:val="7353202C"/>
    <w:rsid w:val="735A34D3"/>
    <w:rsid w:val="74386650"/>
    <w:rsid w:val="7466395C"/>
    <w:rsid w:val="74BA06CD"/>
    <w:rsid w:val="74CD163D"/>
    <w:rsid w:val="74F117E3"/>
    <w:rsid w:val="762A7AD4"/>
    <w:rsid w:val="76481D09"/>
    <w:rsid w:val="76F43665"/>
    <w:rsid w:val="770737D2"/>
    <w:rsid w:val="7A1B6C1E"/>
    <w:rsid w:val="7A351B2A"/>
    <w:rsid w:val="7AB7598A"/>
    <w:rsid w:val="7B310FBD"/>
    <w:rsid w:val="7C3F13C0"/>
    <w:rsid w:val="7C754515"/>
    <w:rsid w:val="7D080444"/>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7045</Words>
  <Characters>7306</Characters>
  <Lines>102</Lines>
  <Paragraphs>28</Paragraphs>
  <TotalTime>14</TotalTime>
  <ScaleCrop>false</ScaleCrop>
  <LinksUpToDate>false</LinksUpToDate>
  <CharactersWithSpaces>8845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2023-04-04T08:33:15Z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F47F42B6397243A990682B8866FFC27D</vt:lpwstr>
  </property>
</Properties>
</file>