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饮水机</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饮水机，</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饮水机</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721"/>
        <w:gridCol w:w="1907"/>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8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115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26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饮水机</w:t>
            </w:r>
          </w:p>
        </w:tc>
        <w:tc>
          <w:tcPr>
            <w:tcW w:w="4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11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0.55</w:t>
            </w:r>
          </w:p>
        </w:tc>
        <w:tc>
          <w:tcPr>
            <w:tcW w:w="2624"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本次采购报价为单价，供货期限为合同生效之日起1年，一年总价限制</w:t>
            </w:r>
            <w:r>
              <w:rPr>
                <w:rFonts w:hint="eastAsia" w:ascii="Times New Roman" w:hAnsi="Times New Roman"/>
                <w:color w:val="auto"/>
                <w:sz w:val="24"/>
                <w:szCs w:val="24"/>
                <w:lang w:val="en-US" w:eastAsia="zh-CN"/>
              </w:rPr>
              <w:t>30万元以内</w:t>
            </w:r>
            <w:r>
              <w:rPr>
                <w:rFonts w:hint="eastAsia" w:ascii="Times New Roman" w:hAnsi="Times New Roman"/>
                <w:color w:val="auto"/>
                <w:sz w:val="24"/>
                <w:szCs w:val="24"/>
                <w:lang w:eastAsia="zh-CN"/>
              </w:rPr>
              <w:t>（供货期间内我院临时采购按照本次价格执行）。</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19</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21</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25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旁医患沟通办</w:t>
      </w:r>
      <w:r>
        <w:rPr>
          <w:rFonts w:hint="eastAsia" w:ascii="Times New Roman" w:hAnsi="Times New Roman"/>
          <w:b w:val="0"/>
          <w:bCs/>
          <w:color w:val="auto"/>
          <w:sz w:val="24"/>
          <w:szCs w:val="24"/>
        </w:rPr>
        <w:t>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18</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2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饮水机</w:t>
      </w:r>
      <w:r>
        <w:rPr>
          <w:rFonts w:hint="eastAsia" w:ascii="Times New Roman" w:hAnsi="Times New Roman"/>
          <w:color w:val="auto"/>
          <w:sz w:val="32"/>
          <w:szCs w:val="32"/>
          <w:lang w:eastAsia="zh-CN"/>
        </w:rPr>
        <w:t>采购的比选文件</w:t>
      </w:r>
    </w:p>
    <w:p>
      <w:pPr>
        <w:pStyle w:val="3"/>
        <w:pageBreakBefore w:val="0"/>
        <w:kinsoku/>
        <w:wordWrap/>
        <w:overflowPunct/>
        <w:topLinePunct w:val="0"/>
        <w:bidi w:val="0"/>
        <w:snapToGrid/>
        <w:spacing w:before="0" w:after="0" w:line="42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饮水机，</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饮水机</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9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65"/>
        <w:gridCol w:w="2101"/>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4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饮水机</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0.55</w:t>
            </w:r>
          </w:p>
        </w:tc>
        <w:tc>
          <w:tcPr>
            <w:tcW w:w="40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eastAsia="zh-CN"/>
              </w:rPr>
              <w:t>本次采购报价为单价，供货期限为合同生效之日起1年，一年总价限制</w:t>
            </w:r>
            <w:r>
              <w:rPr>
                <w:rFonts w:hint="eastAsia" w:ascii="Times New Roman" w:hAnsi="Times New Roman"/>
                <w:color w:val="auto"/>
                <w:sz w:val="24"/>
                <w:szCs w:val="24"/>
                <w:lang w:val="en-US" w:eastAsia="zh-CN"/>
              </w:rPr>
              <w:t>30万元以内</w:t>
            </w:r>
            <w:r>
              <w:rPr>
                <w:rFonts w:hint="eastAsia" w:ascii="Times New Roman" w:hAnsi="Times New Roman"/>
                <w:color w:val="auto"/>
                <w:sz w:val="24"/>
                <w:szCs w:val="24"/>
                <w:lang w:eastAsia="zh-CN"/>
              </w:rPr>
              <w:t>（供货期间内我院临时采购按照本次价格执行）。</w:t>
            </w:r>
          </w:p>
        </w:tc>
      </w:tr>
    </w:tbl>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zh-CN"/>
        </w:rPr>
        <w:t>、</w:t>
      </w:r>
      <w:r>
        <w:rPr>
          <w:rFonts w:ascii="Times New Roman" w:hAnsi="Times New Roman"/>
          <w:kern w:val="0"/>
          <w:sz w:val="24"/>
          <w:szCs w:val="24"/>
          <w:lang w:val="zh-CN"/>
        </w:rPr>
        <w:t>法定代表人授权委托书；</w:t>
      </w:r>
    </w:p>
    <w:p>
      <w:pPr>
        <w:pageBreakBefore w:val="0"/>
        <w:kinsoku/>
        <w:wordWrap/>
        <w:overflowPunct/>
        <w:topLinePunct w:val="0"/>
        <w:autoSpaceDE w:val="0"/>
        <w:autoSpaceDN w:val="0"/>
        <w:bidi w:val="0"/>
        <w:adjustRightInd w:val="0"/>
        <w:snapToGrid/>
        <w:spacing w:line="42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7、法定代表人/单位负责人授权委托书（法定代表人/单位负责人或自然人直接参与投标的除外）。</w:t>
      </w:r>
    </w:p>
    <w:p>
      <w:pPr>
        <w:pageBreakBefore w:val="0"/>
        <w:kinsoku/>
        <w:wordWrap/>
        <w:overflowPunct/>
        <w:topLinePunct w:val="0"/>
        <w:bidi w:val="0"/>
        <w:snapToGrid/>
        <w:spacing w:line="420" w:lineRule="exact"/>
        <w:textAlignment w:val="auto"/>
        <w:rPr>
          <w:rFonts w:hint="eastAsia" w:ascii="Times New Roman" w:hAnsi="Times New Roman" w:eastAsia="宋体"/>
          <w:kern w:val="0"/>
          <w:sz w:val="24"/>
          <w:szCs w:val="24"/>
          <w:lang w:val="en-US" w:eastAsia="zh-CN"/>
        </w:rPr>
      </w:pP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4</w:t>
      </w:r>
      <w:r>
        <w:rPr>
          <w:rFonts w:hint="eastAsia" w:ascii="Times New Roman" w:hAnsi="Times New Roman"/>
          <w:sz w:val="24"/>
          <w:szCs w:val="24"/>
        </w:rPr>
        <w:t>月</w:t>
      </w:r>
      <w:r>
        <w:rPr>
          <w:rFonts w:hint="eastAsia" w:ascii="Times New Roman" w:hAnsi="Times New Roman"/>
          <w:sz w:val="24"/>
          <w:szCs w:val="24"/>
          <w:lang w:val="en-US" w:eastAsia="zh-CN"/>
        </w:rPr>
        <w:t>21</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2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2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2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2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4</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26</w:t>
      </w:r>
      <w:r>
        <w:rPr>
          <w:rFonts w:ascii="Times New Roman" w:hAnsi="Times New Roman"/>
          <w:b w:val="0"/>
          <w:bCs/>
          <w:kern w:val="0"/>
          <w:sz w:val="24"/>
          <w:szCs w:val="24"/>
        </w:rPr>
        <w:t>日</w:t>
      </w:r>
      <w:r>
        <w:rPr>
          <w:rFonts w:hint="eastAsia" w:ascii="Times New Roman" w:hAnsi="Times New Roman"/>
          <w:b w:val="0"/>
          <w:bCs/>
          <w:kern w:val="0"/>
          <w:sz w:val="24"/>
          <w:szCs w:val="24"/>
          <w:lang w:val="en-US" w:eastAsia="zh-CN"/>
        </w:rPr>
        <w:t>15：0</w:t>
      </w:r>
      <w:r>
        <w:rPr>
          <w:rFonts w:ascii="Times New Roman" w:hAnsi="Times New Roman"/>
          <w:b w:val="0"/>
          <w:bCs/>
          <w:kern w:val="0"/>
          <w:sz w:val="24"/>
          <w:szCs w:val="24"/>
        </w:rPr>
        <w:t>0（北京时间）。</w:t>
      </w:r>
    </w:p>
    <w:p>
      <w:pPr>
        <w:pageBreakBefore w:val="0"/>
        <w:kinsoku/>
        <w:wordWrap/>
        <w:overflowPunct/>
        <w:topLinePunct w:val="0"/>
        <w:bidi w:val="0"/>
        <w:snapToGrid/>
        <w:spacing w:line="42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eastAsia="zh-CN"/>
        </w:rPr>
        <w:t>旁医患沟通办</w:t>
      </w:r>
      <w:r>
        <w:rPr>
          <w:rFonts w:hint="eastAsia" w:ascii="Times New Roman" w:hAnsi="Times New Roman"/>
          <w:b w:val="0"/>
          <w:bCs/>
          <w:sz w:val="24"/>
          <w:szCs w:val="24"/>
        </w:rPr>
        <w:t>会议室</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Style w:val="44"/>
        <w:pageBreakBefore w:val="0"/>
        <w:kinsoku/>
        <w:wordWrap/>
        <w:overflowPunct/>
        <w:topLinePunct w:val="0"/>
        <w:bidi w:val="0"/>
        <w:snapToGrid/>
        <w:spacing w:line="420" w:lineRule="exact"/>
        <w:ind w:left="0" w:leftChars="0" w:firstLine="0" w:firstLineChars="0"/>
        <w:contextualSpacing/>
        <w:textAlignment w:val="auto"/>
        <w:rPr>
          <w:rFonts w:hint="default" w:ascii="Times New Roman" w:hAnsi="Times New Roman"/>
          <w:b/>
          <w:sz w:val="36"/>
          <w:szCs w:val="36"/>
          <w:lang w:val="en-US"/>
        </w:rPr>
      </w:pPr>
      <w:r>
        <w:rPr>
          <w:rFonts w:hint="eastAsia" w:ascii="Times New Roman" w:hAnsi="Times New Roman"/>
          <w:b/>
          <w:kern w:val="0"/>
          <w:sz w:val="24"/>
          <w:szCs w:val="24"/>
        </w:rPr>
        <w:t>十一、</w:t>
      </w:r>
      <w:r>
        <w:rPr>
          <w:rFonts w:hint="eastAsia" w:ascii="Times New Roman" w:hAnsi="Times New Roman"/>
          <w:b/>
          <w:bCs/>
          <w:sz w:val="24"/>
          <w:szCs w:val="24"/>
          <w:lang w:eastAsia="zh-CN"/>
        </w:rPr>
        <w:t>项目</w:t>
      </w:r>
      <w:r>
        <w:rPr>
          <w:rFonts w:hint="eastAsia"/>
          <w:b/>
          <w:bCs/>
          <w:sz w:val="24"/>
          <w:szCs w:val="24"/>
          <w:lang w:eastAsia="zh-CN"/>
        </w:rPr>
        <w:t>咨询</w:t>
      </w:r>
      <w:r>
        <w:rPr>
          <w:rFonts w:hint="eastAsia" w:ascii="Times New Roman" w:hAnsi="Times New Roman"/>
          <w:b/>
          <w:bCs/>
          <w:sz w:val="24"/>
          <w:szCs w:val="24"/>
          <w:lang w:eastAsia="zh-CN"/>
        </w:rPr>
        <w:t>及联系方式：</w:t>
      </w:r>
      <w:r>
        <w:rPr>
          <w:rFonts w:hint="eastAsia"/>
          <w:sz w:val="24"/>
          <w:szCs w:val="24"/>
          <w:lang w:eastAsia="zh-CN"/>
        </w:rPr>
        <w:t>李</w:t>
      </w:r>
      <w:r>
        <w:rPr>
          <w:rFonts w:hint="eastAsia"/>
          <w:sz w:val="24"/>
          <w:szCs w:val="24"/>
        </w:rPr>
        <w:t>老师</w:t>
      </w:r>
      <w:r>
        <w:rPr>
          <w:rFonts w:hint="eastAsia"/>
          <w:sz w:val="24"/>
          <w:szCs w:val="24"/>
          <w:lang w:val="en-US" w:eastAsia="zh-CN"/>
        </w:rPr>
        <w:t>-13881115988</w:t>
      </w:r>
    </w:p>
    <w:p>
      <w:pPr>
        <w:pageBreakBefore w:val="0"/>
        <w:kinsoku/>
        <w:wordWrap/>
        <w:overflowPunct/>
        <w:topLinePunct w:val="0"/>
        <w:bidi w:val="0"/>
        <w:snapToGrid/>
        <w:spacing w:line="420" w:lineRule="exact"/>
        <w:textAlignment w:val="auto"/>
        <w:rPr>
          <w:rFonts w:hint="eastAsia" w:ascii="Times New Roman" w:hAnsi="Times New Roman" w:eastAsia="宋体"/>
          <w:b/>
          <w:kern w:val="0"/>
          <w:sz w:val="24"/>
          <w:szCs w:val="24"/>
          <w:lang w:eastAsia="zh-CN"/>
        </w:rPr>
      </w:pPr>
    </w:p>
    <w:p>
      <w:pPr>
        <w:rPr>
          <w:rFonts w:ascii="Times New Roman" w:hAnsi="Times New Roman"/>
          <w:b/>
          <w:sz w:val="36"/>
          <w:szCs w:val="36"/>
        </w:rPr>
      </w:pPr>
      <w:bookmarkStart w:id="1"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1"/>
    </w:p>
    <w:p>
      <w:pPr>
        <w:spacing w:line="360" w:lineRule="auto"/>
        <w:rPr>
          <w:rFonts w:hint="eastAsia" w:cs="Times New Roman" w:asciiTheme="minorEastAsia" w:hAnsiTheme="minorEastAsia" w:eastAsiaTheme="minorEastAsia"/>
          <w:b/>
          <w:bCs/>
          <w:color w:val="auto"/>
          <w:kern w:val="2"/>
          <w:sz w:val="30"/>
          <w:szCs w:val="30"/>
          <w:lang w:val="en-US" w:eastAsia="zh-CN" w:bidi="ar-SA"/>
        </w:rPr>
      </w:pPr>
      <w:r>
        <w:rPr>
          <w:rFonts w:hint="eastAsia" w:asciiTheme="minorEastAsia" w:hAnsiTheme="minorEastAsia" w:eastAsiaTheme="minorEastAsia"/>
          <w:b/>
          <w:kern w:val="0"/>
          <w:sz w:val="28"/>
          <w:szCs w:val="28"/>
          <w:lang w:eastAsia="zh-CN"/>
        </w:rPr>
        <w:t>一、技术参数及要求</w:t>
      </w:r>
      <w:bookmarkStart w:id="2" w:name="_Toc233048245"/>
      <w:bookmarkStart w:id="3" w:name="_Toc350964160"/>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1、产品尺寸（mm）：900×420×1</w:t>
      </w:r>
      <w:r>
        <w:rPr>
          <w:rFonts w:hint="eastAsia" w:asciiTheme="minorEastAsia" w:hAnsiTheme="minorEastAsia" w:eastAsiaTheme="minorEastAsia" w:cstheme="minorEastAsia"/>
          <w:b w:val="0"/>
          <w:bCs w:val="0"/>
          <w:sz w:val="24"/>
          <w:szCs w:val="24"/>
          <w:lang w:val="en-US" w:eastAsia="zh-CN"/>
        </w:rPr>
        <w:t>38</w:t>
      </w:r>
      <w:r>
        <w:rPr>
          <w:rFonts w:hint="eastAsia" w:asciiTheme="minorEastAsia" w:hAnsiTheme="minorEastAsia" w:eastAsiaTheme="minorEastAsia" w:cstheme="minorEastAsia"/>
          <w:b w:val="0"/>
          <w:bCs w:val="0"/>
          <w:sz w:val="24"/>
          <w:szCs w:val="24"/>
          <w:lang w:eastAsia="zh-CN"/>
        </w:rPr>
        <w:t>0（偏离小于5%）；</w:t>
      </w:r>
    </w:p>
    <w:p>
      <w:pPr>
        <w:pStyle w:val="2"/>
        <w:jc w:val="left"/>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sz w:val="24"/>
          <w:szCs w:val="24"/>
          <w:lang w:eastAsia="zh-CN"/>
        </w:rPr>
        <w:t>2、电源电压：220VAC/50HZ，额</w:t>
      </w:r>
      <w:r>
        <w:rPr>
          <w:rFonts w:hint="eastAsia" w:asciiTheme="minorEastAsia" w:hAnsiTheme="minorEastAsia" w:eastAsiaTheme="minorEastAsia" w:cstheme="minorEastAsia"/>
          <w:b w:val="0"/>
          <w:bCs w:val="0"/>
          <w:color w:val="auto"/>
          <w:sz w:val="24"/>
          <w:szCs w:val="24"/>
          <w:lang w:eastAsia="zh-CN"/>
        </w:rPr>
        <w:t>定功率≥</w:t>
      </w: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eastAsia="zh-CN"/>
        </w:rPr>
        <w:t>00W；</w:t>
      </w:r>
    </w:p>
    <w:p>
      <w:pPr>
        <w:snapToGrid w:val="0"/>
        <w:spacing w:line="360" w:lineRule="auto"/>
        <w:rPr>
          <w:rFonts w:hint="eastAsia" w:asciiTheme="minorEastAsia" w:hAnsiTheme="minorEastAsia" w:eastAsiaTheme="minorEastAsia"/>
          <w:color w:val="auto"/>
          <w:sz w:val="24"/>
          <w:szCs w:val="21"/>
          <w:lang w:val="en-US" w:eastAsia="zh-CN"/>
        </w:rPr>
      </w:pPr>
      <w:r>
        <w:rPr>
          <w:rFonts w:hint="eastAsia" w:asciiTheme="minorEastAsia" w:hAnsiTheme="minorEastAsia" w:eastAsiaTheme="minorEastAsia" w:cstheme="minorEastAsia"/>
          <w:b w:val="0"/>
          <w:bCs w:val="0"/>
          <w:color w:val="auto"/>
          <w:sz w:val="24"/>
          <w:szCs w:val="24"/>
          <w:lang w:eastAsia="zh-CN"/>
        </w:rPr>
        <w:t>3、出水方式：触摸按键出水、</w:t>
      </w:r>
      <w:r>
        <w:rPr>
          <w:rFonts w:hint="eastAsia" w:asciiTheme="minorEastAsia" w:hAnsiTheme="minorEastAsia" w:eastAsiaTheme="minorEastAsia"/>
          <w:color w:val="auto"/>
          <w:sz w:val="24"/>
          <w:szCs w:val="21"/>
        </w:rPr>
        <w:t>一开</w:t>
      </w:r>
      <w:r>
        <w:rPr>
          <w:rFonts w:hint="eastAsia" w:asciiTheme="minorEastAsia" w:hAnsiTheme="minorEastAsia" w:eastAsiaTheme="minorEastAsia"/>
          <w:color w:val="auto"/>
          <w:sz w:val="24"/>
          <w:szCs w:val="21"/>
          <w:lang w:val="en-US" w:eastAsia="zh-CN"/>
        </w:rPr>
        <w:t>一冷</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4、▲容量:热胆≥</w:t>
      </w: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lang w:eastAsia="zh-CN"/>
        </w:rPr>
        <w:t>L、（提供与投标产品型号一致的整机《涉及饮用水卫生安全产品卫生许可批件》及附件明细复印件做为依据、原件备查）；</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5、▲过滤方式：整机《涉及饮用水卫生安全产品卫生许可批件》载明过滤至少应是四级或四级以上的过滤（如：PP棉滤芯+活性炭滤芯+活性炭滤芯+RO</w:t>
      </w:r>
      <w:r>
        <w:rPr>
          <w:rFonts w:hint="eastAsia" w:asciiTheme="minorEastAsia" w:hAnsiTheme="minorEastAsia" w:eastAsiaTheme="minorEastAsia" w:cstheme="minorEastAsia"/>
          <w:b w:val="0"/>
          <w:bCs w:val="0"/>
          <w:sz w:val="24"/>
          <w:szCs w:val="24"/>
          <w:lang w:val="en-US" w:eastAsia="zh-CN"/>
        </w:rPr>
        <w:t>或UF</w:t>
      </w:r>
      <w:r>
        <w:rPr>
          <w:rFonts w:hint="eastAsia" w:asciiTheme="minorEastAsia" w:hAnsiTheme="minorEastAsia" w:eastAsiaTheme="minorEastAsia" w:cstheme="minorEastAsia"/>
          <w:b w:val="0"/>
          <w:bCs w:val="0"/>
          <w:sz w:val="24"/>
          <w:szCs w:val="24"/>
          <w:lang w:eastAsia="zh-CN"/>
        </w:rPr>
        <w:t>滤芯）装置，为保证水质及产品品质，所投饮水机和饮水机各级滤芯应为同一品牌，且所配置的各种滤芯均要取得省级及以上卫生部门颁发的《涉及饮用水卫生安全产品卫生许可批件》，且各级滤芯出水水质至少应符合CJ94-2005《饮用净水水质标准》；</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注：（提供有效期内的整机、各级滤芯卫生许可批件及由第三方检测机构出具给报价产品制造商的各级滤芯的符合CJ94-2005《饮用净水水质标准》的2022年后出具的出水水质检测报告复印件，加盖所投产品制造商、供应商鲜章）；</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6、▲所投直饮水机出水水质至少应符合CJ94-2005《饮用净水水质标准》（提供由第三方检测机构2022年后出具给报价产品制造商的整机出水水质检测报告）；</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7、▲所投产品材质：</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1)核心部件如：水槽、门板、水胆、波纹管、发热管及热交换器均采用食品级不锈钢。（投标文件中提供第三方机构出具给产品制造商的成分分析检测报告）；</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其他涉水部件：采用食品级材质，其中波纹管、安全阀、排气阀、交换器、调温阀、水龙头部件、水罐、发热管、电极，符合GB4806.9-2016的要求；电磁阀、白筒、滤筒接头、滤芯，符合GB4806.7-2016的要求；胶圈符合GB4806.11-2016的要求（提供由第三方检测机构出具给所投产品制造商的检验报告复印件）。</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8、▲安全技术：1)加热安全要求：采用常压式液体加热技术，防止热胆爆裂（投标文件中提供国家质检、科技或知识产权部门颁发的证书复印件）；</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2)核心部件加热内胆与投标产品整机为同一品牌，提供加热内胆《涉及饮用水卫生安全产品卫生许可批件》及附件明细复印件；</w:t>
      </w:r>
    </w:p>
    <w:p>
      <w:pPr>
        <w:snapToGrid w:val="0"/>
        <w:spacing w:line="360" w:lineRule="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9、▲</w:t>
      </w:r>
      <w:r>
        <w:rPr>
          <w:rFonts w:hint="eastAsia" w:asciiTheme="minorEastAsia" w:hAnsiTheme="minorEastAsia" w:eastAsiaTheme="minorEastAsia"/>
          <w:color w:val="auto"/>
          <w:sz w:val="24"/>
          <w:szCs w:val="21"/>
          <w:lang w:eastAsia="zh-CN"/>
        </w:rPr>
        <w:t>提供</w:t>
      </w:r>
      <w:r>
        <w:rPr>
          <w:rFonts w:hint="eastAsia" w:asciiTheme="minorEastAsia" w:hAnsiTheme="minorEastAsia" w:eastAsiaTheme="minorEastAsia"/>
          <w:color w:val="auto"/>
          <w:sz w:val="24"/>
          <w:szCs w:val="21"/>
        </w:rPr>
        <w:t>《涉及饮用水卫生安全产品卫生许可批件》及附件明细复印件）；</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10、▲提供国家权威机构出具给报价产品制造商的技术证明文件复印件）；</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11、▲防伪技术：滤芯采用识别电子标签防伪技术，后期更换确保原厂正品，用水水质保证安全（提供国家权威机构出具给报价产品制造商的技术证明文件复印件）；</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12、智控技术：设有定时开关机，液晶显示屏，显示温度、星期、时间、饮水机运行数据、故障代码和中文报警、滤芯寿命提醒等功能；</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13、▲智能杀菌技术：设备定时对设备涉水管路和龙头进行开水高温杀菌消毒，智能隔夜水排放，保证水质新鲜等一体化功能（提供国家权威机构出具给报价产品制造商的智能杀菌技术证明文件复印件）；</w:t>
      </w:r>
    </w:p>
    <w:p>
      <w:pPr>
        <w:pStyle w:val="2"/>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14、▲食品卫生要求：整机符合GB4806.7-2016、GB4806.9-2016、GB4806.11-2016要求保证出水安全。（提供与投标产品型号一致的整机《食品接触产品安全认证证书》复印件）。</w:t>
      </w:r>
    </w:p>
    <w:p>
      <w:pPr>
        <w:spacing w:line="360" w:lineRule="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二、商务要求</w:t>
      </w:r>
    </w:p>
    <w:p>
      <w:pPr>
        <w:pStyle w:val="2"/>
        <w:jc w:val="left"/>
        <w:rPr>
          <w:rFonts w:hint="eastAsia" w:asciiTheme="minorEastAsia" w:hAnsiTheme="minorEastAsia" w:eastAsiaTheme="minorEastAsia" w:cstheme="minorEastAsia"/>
          <w:b w:val="0"/>
          <w:bCs w:val="0"/>
          <w:sz w:val="24"/>
          <w:szCs w:val="24"/>
          <w:lang w:eastAsia="zh-CN"/>
        </w:rPr>
      </w:pPr>
      <w:bookmarkStart w:id="4" w:name="_Toc520455383"/>
      <w:bookmarkStart w:id="5" w:name="_Toc52036325"/>
      <w:r>
        <w:rPr>
          <w:rFonts w:hint="eastAsia" w:asciiTheme="minorEastAsia" w:hAnsiTheme="minorEastAsia" w:eastAsiaTheme="minorEastAsia" w:cstheme="minorEastAsia"/>
          <w:b w:val="0"/>
          <w:bCs w:val="0"/>
          <w:sz w:val="24"/>
          <w:szCs w:val="24"/>
          <w:lang w:eastAsia="zh-CN"/>
        </w:rPr>
        <w:t>1、投标人需对饮水机易损件及常用耗材进行详细报价。</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2、交货期：合同签订后15日内完成安装调试并交付使用。</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3、质保期：整机质保≥1年（质保期内滤芯免费更换）。如国家或行业标准期限长于本项目质保期的，按国家或行业标准执行。</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4、付款方式：安装调试完成、验收合格并收到发票后1个月内支付合同金额的90%，质保期满后设备无质量问题1个月内支付合同金额的10%。</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5、售后服务：保修期内接到报修电话半小时分钟内响应，6小时到达现场，24小时内恢复设备正常运行。所有人工费、材料费、差旅费等各种费用由中标方支付。质保期满维修只收配件费。</w:t>
      </w:r>
    </w:p>
    <w:p>
      <w:pPr>
        <w:pStyle w:val="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6、本项目交付使用时中标方派专业技术人员对使用人员、管理人员进行培训，直至能独立操作，同时能完成一般常见故障的维修处理。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kern w:val="0"/>
          <w:sz w:val="32"/>
          <w:szCs w:val="32"/>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6" w:name="_Toc520455385"/>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bookmarkEnd w:id="6"/>
    </w:p>
    <w:tbl>
      <w:tblPr>
        <w:tblStyle w:val="22"/>
        <w:tblpPr w:leftFromText="180" w:rightFromText="180" w:vertAnchor="text" w:horzAnchor="page" w:tblpX="1429" w:tblpY="302"/>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360"/>
        <w:gridCol w:w="750"/>
        <w:gridCol w:w="454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bidi="ar"/>
              </w:rPr>
              <w:t>序号</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bidi="ar"/>
              </w:rPr>
              <w:t>评分因素及权重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bidi="ar"/>
              </w:rPr>
              <w:t>分值</w:t>
            </w:r>
          </w:p>
        </w:tc>
        <w:tc>
          <w:tcPr>
            <w:tcW w:w="4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bidi="ar"/>
              </w:rPr>
              <w:t>评分标准</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bidi="ar"/>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报价3</w:t>
            </w:r>
            <w:r>
              <w:rPr>
                <w:rFonts w:hint="eastAsia" w:ascii="宋体" w:hAnsi="宋体" w:eastAsia="宋体" w:cs="宋体"/>
                <w:kern w:val="2"/>
                <w:sz w:val="24"/>
                <w:szCs w:val="24"/>
                <w:lang w:val="en-US" w:eastAsia="zh-CN" w:bidi="ar"/>
              </w:rPr>
              <w:t>0</w:t>
            </w:r>
            <w:r>
              <w:rPr>
                <w:rFonts w:hint="eastAsia" w:ascii="宋体" w:hAnsi="宋体" w:eastAsia="宋体" w:cs="宋体"/>
                <w:kern w:val="2"/>
                <w:sz w:val="24"/>
                <w:szCs w:val="24"/>
                <w:lang w:bidi="ar"/>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3</w:t>
            </w:r>
            <w:r>
              <w:rPr>
                <w:rFonts w:hint="eastAsia" w:ascii="宋体" w:hAnsi="宋体" w:eastAsia="宋体" w:cs="宋体"/>
                <w:kern w:val="2"/>
                <w:sz w:val="24"/>
                <w:szCs w:val="24"/>
                <w:lang w:val="en-US" w:eastAsia="zh-CN" w:bidi="ar"/>
              </w:rPr>
              <w:t>0</w:t>
            </w:r>
            <w:r>
              <w:rPr>
                <w:rFonts w:hint="eastAsia" w:ascii="宋体" w:hAnsi="宋体" w:eastAsia="宋体" w:cs="宋体"/>
                <w:kern w:val="2"/>
                <w:sz w:val="24"/>
                <w:szCs w:val="24"/>
                <w:lang w:bidi="ar"/>
              </w:rPr>
              <w:t>分</w:t>
            </w:r>
          </w:p>
        </w:tc>
        <w:tc>
          <w:tcPr>
            <w:tcW w:w="4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在满足招标文件要求的前提下，以本次最低价有效投标价作为评标基准价，投标报价得分=评标基准价÷有效投标价×3</w:t>
            </w:r>
            <w:r>
              <w:rPr>
                <w:rFonts w:hint="eastAsia" w:ascii="宋体" w:hAnsi="宋体" w:eastAsia="宋体" w:cs="宋体"/>
                <w:kern w:val="2"/>
                <w:sz w:val="24"/>
                <w:szCs w:val="24"/>
                <w:lang w:val="en-US" w:eastAsia="zh-CN" w:bidi="ar"/>
              </w:rPr>
              <w:t>0%</w:t>
            </w:r>
            <w:r>
              <w:rPr>
                <w:rFonts w:hint="eastAsia" w:ascii="宋体" w:hAnsi="宋体" w:eastAsia="宋体" w:cs="宋体"/>
                <w:kern w:val="2"/>
                <w:sz w:val="24"/>
                <w:szCs w:val="24"/>
                <w:lang w:bidi="ar"/>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有效投标报价指通过资格性检查和符合性检查的投标人报价。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2</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kern w:val="2"/>
                <w:sz w:val="24"/>
                <w:szCs w:val="24"/>
                <w:lang w:bidi="ar"/>
              </w:rPr>
              <w:t>技术指标</w:t>
            </w:r>
          </w:p>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60</w:t>
            </w:r>
            <w:r>
              <w:rPr>
                <w:rFonts w:hint="eastAsia" w:ascii="宋体" w:hAnsi="宋体" w:eastAsia="宋体" w:cs="宋体"/>
                <w:kern w:val="2"/>
                <w:sz w:val="24"/>
                <w:szCs w:val="24"/>
                <w:lang w:bidi="ar"/>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60</w:t>
            </w:r>
            <w:r>
              <w:rPr>
                <w:rFonts w:hint="eastAsia" w:ascii="宋体" w:hAnsi="宋体" w:eastAsia="宋体" w:cs="宋体"/>
                <w:kern w:val="2"/>
                <w:sz w:val="24"/>
                <w:szCs w:val="24"/>
                <w:lang w:bidi="ar"/>
              </w:rPr>
              <w:t>分</w:t>
            </w:r>
          </w:p>
        </w:tc>
        <w:tc>
          <w:tcPr>
            <w:tcW w:w="4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 xml:space="preserve">根据《技术条款响应表》响应情况，完全满足或优于技术性能要求的得满分； 对未达到或未响应公开招标文件技术要求的，带“▲” 号（重要技术要求）条款 每一项扣除 </w:t>
            </w:r>
            <w:r>
              <w:rPr>
                <w:rFonts w:hint="eastAsia" w:ascii="宋体" w:hAnsi="宋体" w:eastAsia="宋体" w:cs="宋体"/>
                <w:kern w:val="2"/>
                <w:sz w:val="24"/>
                <w:szCs w:val="24"/>
                <w:lang w:val="en-US" w:eastAsia="zh-CN" w:bidi="ar"/>
              </w:rPr>
              <w:t>5</w:t>
            </w:r>
            <w:r>
              <w:rPr>
                <w:rFonts w:hint="eastAsia" w:ascii="宋体" w:hAnsi="宋体" w:eastAsia="宋体" w:cs="宋体"/>
                <w:kern w:val="2"/>
                <w:sz w:val="24"/>
                <w:szCs w:val="24"/>
                <w:lang w:bidi="ar"/>
              </w:rPr>
              <w:t>分；</w:t>
            </w:r>
            <w:r>
              <w:rPr>
                <w:rFonts w:hint="eastAsia" w:ascii="宋体" w:hAnsi="宋体" w:eastAsia="宋体" w:cs="宋体"/>
                <w:kern w:val="2"/>
                <w:sz w:val="24"/>
                <w:szCs w:val="24"/>
                <w:lang w:eastAsia="zh-CN" w:bidi="ar"/>
              </w:rPr>
              <w:t>非</w:t>
            </w:r>
            <w:r>
              <w:rPr>
                <w:rFonts w:hint="eastAsia" w:ascii="宋体" w:hAnsi="宋体" w:eastAsia="宋体" w:cs="宋体"/>
                <w:kern w:val="2"/>
                <w:sz w:val="24"/>
                <w:szCs w:val="24"/>
                <w:lang w:bidi="ar"/>
              </w:rPr>
              <w:t xml:space="preserve"> “▲”号条款每一项扣除 </w:t>
            </w:r>
            <w:r>
              <w:rPr>
                <w:rFonts w:hint="eastAsia" w:ascii="宋体" w:hAnsi="宋体" w:eastAsia="宋体" w:cs="宋体"/>
                <w:kern w:val="2"/>
                <w:sz w:val="24"/>
                <w:szCs w:val="24"/>
                <w:lang w:val="en-US" w:eastAsia="zh-CN" w:bidi="ar"/>
              </w:rPr>
              <w:t>2.5</w:t>
            </w:r>
            <w:r>
              <w:rPr>
                <w:rFonts w:hint="eastAsia" w:ascii="宋体" w:hAnsi="宋体" w:eastAsia="宋体" w:cs="宋体"/>
                <w:kern w:val="2"/>
                <w:sz w:val="24"/>
                <w:szCs w:val="24"/>
                <w:lang w:bidi="ar"/>
              </w:rPr>
              <w:t xml:space="preserve"> 分，扣完为止。</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eastAsia="zh-CN" w:bidi="ar"/>
              </w:rPr>
              <w:t>节能、环保、</w:t>
            </w:r>
            <w:r>
              <w:rPr>
                <w:rFonts w:hint="eastAsia" w:ascii="宋体" w:hAnsi="宋体" w:eastAsia="宋体" w:cs="宋体"/>
                <w:b w:val="0"/>
                <w:sz w:val="24"/>
                <w:szCs w:val="24"/>
              </w:rPr>
              <w:t>无线局域网产品</w:t>
            </w:r>
            <w:r>
              <w:rPr>
                <w:rFonts w:hint="eastAsia" w:ascii="宋体" w:hAnsi="宋体" w:eastAsia="宋体" w:cs="宋体"/>
                <w:color w:val="auto"/>
                <w:kern w:val="2"/>
                <w:sz w:val="24"/>
                <w:szCs w:val="24"/>
                <w:lang w:val="en-US" w:eastAsia="zh-CN" w:bidi="ar"/>
              </w:rPr>
              <w:t>2</w:t>
            </w:r>
            <w:r>
              <w:rPr>
                <w:rFonts w:hint="eastAsia" w:ascii="宋体" w:hAnsi="宋体" w:eastAsia="宋体" w:cs="宋体"/>
                <w:color w:val="auto"/>
                <w:kern w:val="2"/>
                <w:sz w:val="24"/>
                <w:szCs w:val="24"/>
                <w:lang w:bidi="ar"/>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w:t>
            </w:r>
          </w:p>
        </w:tc>
        <w:tc>
          <w:tcPr>
            <w:tcW w:w="4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投标产品中属于政府采购优先采购范围的，</w:t>
            </w:r>
            <w:bookmarkStart w:id="49" w:name="_GoBack"/>
            <w:bookmarkEnd w:id="49"/>
            <w:r>
              <w:rPr>
                <w:rFonts w:hint="eastAsia" w:ascii="宋体" w:hAnsi="宋体" w:eastAsia="宋体" w:cs="宋体"/>
                <w:b w:val="0"/>
                <w:sz w:val="24"/>
                <w:szCs w:val="24"/>
              </w:rPr>
              <w:t>有一项为节能产品或者环境标志产品或者无线局域网产品的得</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分</w:t>
            </w:r>
            <w:r>
              <w:rPr>
                <w:rFonts w:hint="eastAsia" w:ascii="宋体" w:hAnsi="宋体" w:eastAsia="宋体" w:cs="宋体"/>
                <w:b w:val="0"/>
                <w:sz w:val="24"/>
                <w:szCs w:val="24"/>
                <w:lang w:eastAsia="zh-CN"/>
              </w:rPr>
              <w:t>。</w:t>
            </w:r>
          </w:p>
          <w:p>
            <w:pPr>
              <w:pStyle w:val="2"/>
              <w:rPr>
                <w:rFonts w:hint="eastAsia" w:ascii="宋体" w:hAnsi="宋体" w:eastAsia="宋体" w:cs="宋体"/>
                <w:sz w:val="24"/>
                <w:szCs w:val="24"/>
              </w:rPr>
            </w:pPr>
            <w:r>
              <w:rPr>
                <w:rFonts w:hint="eastAsia" w:ascii="宋体" w:hAnsi="宋体" w:eastAsia="宋体" w:cs="宋体"/>
                <w:b w:val="0"/>
                <w:sz w:val="24"/>
                <w:szCs w:val="24"/>
              </w:rPr>
              <w:t>节能产品、环境标志产品优先采购范围以品目清单为准。</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lang w:eastAsia="zh-CN" w:bidi="ar"/>
              </w:rPr>
            </w:pPr>
            <w:r>
              <w:rPr>
                <w:rFonts w:hint="eastAsia" w:ascii="宋体" w:hAnsi="宋体" w:eastAsia="宋体" w:cs="宋体"/>
                <w:bCs/>
                <w:color w:val="auto"/>
                <w:sz w:val="24"/>
                <w:szCs w:val="24"/>
              </w:rPr>
              <w:t>履约能力</w:t>
            </w:r>
            <w:r>
              <w:rPr>
                <w:rFonts w:hint="eastAsia" w:ascii="宋体" w:hAnsi="宋体" w:eastAsia="宋体" w:cs="宋体"/>
                <w:bCs/>
                <w:color w:val="auto"/>
                <w:sz w:val="24"/>
                <w:szCs w:val="24"/>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lang w:val="en-US" w:eastAsia="zh-CN" w:bidi="ar"/>
              </w:rPr>
            </w:pPr>
            <w:r>
              <w:rPr>
                <w:rFonts w:hint="eastAsia" w:ascii="宋体" w:hAnsi="宋体" w:eastAsia="宋体" w:cs="宋体"/>
                <w:bCs/>
                <w:color w:val="auto"/>
                <w:sz w:val="24"/>
                <w:szCs w:val="24"/>
                <w:lang w:val="en-US" w:eastAsia="zh-CN"/>
              </w:rPr>
              <w:t>4</w:t>
            </w:r>
          </w:p>
        </w:tc>
        <w:tc>
          <w:tcPr>
            <w:tcW w:w="45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bidi="ar"/>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合同一个得0.5分，最多得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pPr>
              <w:spacing w:line="0" w:lineRule="atLeast"/>
              <w:jc w:val="center"/>
              <w:rPr>
                <w:rFonts w:hint="eastAsia" w:ascii="宋体" w:hAnsi="宋体" w:eastAsia="宋体" w:cs="宋体"/>
                <w:kern w:val="2"/>
                <w:sz w:val="24"/>
                <w:szCs w:val="24"/>
                <w:lang w:bidi="ar"/>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完整的</w:t>
            </w:r>
            <w:r>
              <w:rPr>
                <w:rFonts w:hint="eastAsia" w:ascii="宋体" w:hAnsi="宋体" w:eastAsia="宋体" w:cs="宋体"/>
                <w:color w:val="auto"/>
                <w:sz w:val="24"/>
                <w:szCs w:val="24"/>
              </w:rPr>
              <w:t>合同/协议复印件并加盖投标人的公章。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4"/>
                <w:szCs w:val="24"/>
              </w:rPr>
            </w:pPr>
            <w:r>
              <w:rPr>
                <w:rFonts w:hint="eastAsia" w:ascii="宋体" w:hAnsi="宋体" w:eastAsia="宋体" w:cs="宋体"/>
                <w:bCs/>
                <w:color w:val="auto"/>
                <w:sz w:val="24"/>
                <w:szCs w:val="24"/>
              </w:rPr>
              <w:t>售后服务</w:t>
            </w:r>
            <w:r>
              <w:rPr>
                <w:rFonts w:hint="eastAsia" w:ascii="宋体" w:hAnsi="宋体" w:eastAsia="宋体" w:cs="宋体"/>
                <w:bCs/>
                <w:color w:val="auto"/>
                <w:sz w:val="24"/>
                <w:szCs w:val="24"/>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4"/>
                <w:szCs w:val="24"/>
              </w:rPr>
            </w:pPr>
            <w:r>
              <w:rPr>
                <w:rFonts w:hint="eastAsia" w:ascii="宋体" w:hAnsi="宋体" w:eastAsia="宋体" w:cs="宋体"/>
                <w:bCs/>
                <w:color w:val="auto"/>
                <w:sz w:val="24"/>
                <w:szCs w:val="24"/>
                <w:lang w:val="en-US" w:eastAsia="zh-CN"/>
              </w:rPr>
              <w:t>4</w:t>
            </w:r>
          </w:p>
        </w:tc>
        <w:tc>
          <w:tcPr>
            <w:tcW w:w="45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分，扣完为止。</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p>
        </w:tc>
      </w:tr>
    </w:tbl>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rPr>
          <w:rFonts w:hint="eastAsia" w:ascii="Times New Roman" w:hAnsi="Times New Roman"/>
          <w:sz w:val="36"/>
          <w:szCs w:val="36"/>
          <w:lang w:eastAsia="zh-CN"/>
        </w:rPr>
      </w:pPr>
      <w:r>
        <w:rPr>
          <w:rFonts w:hint="eastAsia" w:ascii="Times New Roman" w:hAnsi="Times New Roman"/>
          <w:sz w:val="36"/>
          <w:szCs w:val="36"/>
          <w:lang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hint="eastAsia" w:ascii="Times New Roman" w:hAnsi="Times New Roman"/>
          <w:sz w:val="36"/>
          <w:szCs w:val="36"/>
          <w:lang w:eastAsia="zh-CN"/>
        </w:rPr>
        <w:t>第四章</w:t>
      </w:r>
      <w:r>
        <w:rPr>
          <w:rFonts w:hint="eastAsia" w:ascii="Times New Roman" w:hAnsi="Times New Roman"/>
          <w:sz w:val="36"/>
          <w:szCs w:val="36"/>
          <w:lang w:val="en-US" w:eastAsia="zh-CN"/>
        </w:rPr>
        <w:t xml:space="preserve"> </w:t>
      </w:r>
      <w:r>
        <w:rPr>
          <w:rFonts w:ascii="Times New Roman" w:hAnsi="Times New Roman"/>
          <w:sz w:val="36"/>
          <w:szCs w:val="36"/>
        </w:rPr>
        <w:t>响应文件格式</w:t>
      </w:r>
      <w:bookmarkEnd w:id="4"/>
      <w:bookmarkEnd w:id="5"/>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rPr>
          <w:rFonts w:ascii="Times New Roman" w:hAnsi="Times New Roman"/>
          <w:b/>
          <w:kern w:val="0"/>
          <w:sz w:val="32"/>
          <w:szCs w:val="20"/>
        </w:rPr>
      </w:pPr>
      <w:r>
        <w:rPr>
          <w:rFonts w:ascii="Times New Roman" w:hAnsi="Times New Roman"/>
          <w:b/>
          <w:kern w:val="0"/>
          <w:sz w:val="32"/>
          <w:szCs w:val="20"/>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7" w:name="_Toc40447267"/>
      <w:bookmarkStart w:id="8" w:name="_Toc33709793"/>
      <w:bookmarkStart w:id="9" w:name="_Toc52036326"/>
      <w:bookmarkStart w:id="10" w:name="_Toc34051805"/>
      <w:bookmarkStart w:id="11" w:name="_Toc33698132"/>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33709794"/>
      <w:bookmarkStart w:id="13" w:name="_Toc52036327"/>
      <w:bookmarkStart w:id="14" w:name="_Toc33698133"/>
      <w:bookmarkStart w:id="15" w:name="_Toc34051806"/>
      <w:bookmarkStart w:id="16" w:name="_Toc40447268"/>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52036328"/>
      <w:bookmarkStart w:id="18" w:name="_Toc33698134"/>
      <w:bookmarkStart w:id="19" w:name="_Toc40447269"/>
      <w:bookmarkStart w:id="20" w:name="_Toc34051807"/>
      <w:bookmarkStart w:id="21" w:name="_Toc33709795"/>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33709796"/>
      <w:bookmarkStart w:id="23" w:name="_Toc52036329"/>
      <w:bookmarkStart w:id="24" w:name="_Toc34051808"/>
      <w:bookmarkStart w:id="25" w:name="_Toc40447270"/>
      <w:bookmarkStart w:id="26" w:name="_Toc33698135"/>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307564880"/>
      <w:bookmarkStart w:id="28" w:name="_Toc436410129"/>
      <w:bookmarkStart w:id="29" w:name="_Toc436385992"/>
      <w:bookmarkStart w:id="30" w:name="_Toc436404120"/>
      <w:bookmarkStart w:id="31" w:name="_Toc43682089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971"/>
      <w:bookmarkStart w:id="33" w:name="_Toc503987183"/>
      <w:bookmarkStart w:id="34" w:name="_Toc503987293"/>
      <w:bookmarkStart w:id="35" w:name="_Toc503986838"/>
      <w:bookmarkStart w:id="36" w:name="_Toc503987104"/>
      <w:bookmarkStart w:id="37"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40447271"/>
      <w:bookmarkStart w:id="39" w:name="_Toc33709797"/>
      <w:bookmarkStart w:id="40" w:name="_Toc33698136"/>
      <w:bookmarkStart w:id="41" w:name="_Toc52036330"/>
      <w:bookmarkStart w:id="42" w:name="_Toc34051809"/>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33709798"/>
      <w:bookmarkStart w:id="44" w:name="_Toc40447272"/>
      <w:bookmarkStart w:id="45" w:name="_Toc33698137"/>
      <w:bookmarkStart w:id="46" w:name="_Toc34051810"/>
      <w:bookmarkStart w:id="47" w:name="_Toc52036331"/>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w:t>
            </w:r>
            <w:r>
              <w:rPr>
                <w:rFonts w:hint="eastAsia" w:ascii="Times New Roman" w:hAnsi="Times New Roman"/>
                <w:b/>
                <w:sz w:val="24"/>
                <w:lang w:eastAsia="zh-CN"/>
              </w:rPr>
              <w:t>万</w:t>
            </w:r>
            <w:r>
              <w:rPr>
                <w:rFonts w:hint="eastAsia" w:ascii="Times New Roman" w:hAnsi="Times New Roman"/>
                <w:b/>
                <w:sz w:val="24"/>
              </w:rPr>
              <w:t>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w:t>
            </w:r>
            <w:r>
              <w:rPr>
                <w:rFonts w:hint="eastAsia" w:ascii="Times New Roman" w:hAnsi="Times New Roman"/>
                <w:b/>
                <w:sz w:val="24"/>
                <w:lang w:eastAsia="zh-CN"/>
              </w:rPr>
              <w:t>万</w:t>
            </w:r>
            <w:r>
              <w:rPr>
                <w:rFonts w:hint="eastAsia" w:ascii="Times New Roman" w:hAnsi="Times New Roman"/>
                <w:b/>
                <w:sz w:val="24"/>
              </w:rPr>
              <w:t>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48"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rPr>
        <w:t>易损件</w:t>
      </w:r>
      <w:r>
        <w:rPr>
          <w:rFonts w:hint="eastAsia" w:ascii="Times New Roman" w:hAnsi="Times New Roman" w:eastAsia="黑体"/>
          <w:b/>
          <w:sz w:val="32"/>
          <w:szCs w:val="32"/>
          <w:lang w:eastAsia="zh-CN"/>
        </w:rPr>
        <w:t>、</w:t>
      </w:r>
      <w:r>
        <w:rPr>
          <w:rFonts w:hint="eastAsia" w:ascii="Times New Roman" w:hAnsi="Times New Roman" w:eastAsia="黑体"/>
          <w:b/>
          <w:sz w:val="32"/>
          <w:szCs w:val="32"/>
        </w:rPr>
        <w:t>常用</w:t>
      </w:r>
      <w:r>
        <w:rPr>
          <w:rFonts w:hint="eastAsia" w:ascii="Times New Roman" w:hAnsi="Times New Roman" w:eastAsia="黑体"/>
          <w:b/>
          <w:sz w:val="32"/>
          <w:szCs w:val="32"/>
          <w:lang w:eastAsia="zh-CN"/>
        </w:rPr>
        <w:t>耗材</w:t>
      </w:r>
      <w:r>
        <w:rPr>
          <w:rFonts w:ascii="Times New Roman" w:hAnsi="Times New Roman" w:eastAsia="黑体"/>
          <w:b/>
          <w:sz w:val="32"/>
          <w:szCs w:val="32"/>
        </w:rPr>
        <w:t>报价表</w:t>
      </w:r>
      <w:bookmarkEnd w:id="48"/>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center"/>
        <w:rPr>
          <w:rFonts w:ascii="Times New Roman" w:hAnsi="Times New Roman"/>
        </w:rPr>
      </w:pP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r>
              <w:rPr>
                <w:rFonts w:hint="eastAsia" w:ascii="Times New Roman" w:hAnsi="Times New Roman"/>
                <w:b/>
                <w:sz w:val="24"/>
              </w:rPr>
              <w:t>（</w:t>
            </w:r>
            <w:r>
              <w:rPr>
                <w:rFonts w:hint="eastAsia" w:ascii="Times New Roman" w:hAnsi="Times New Roman"/>
                <w:b/>
                <w:sz w:val="24"/>
                <w:lang w:eastAsia="zh-CN"/>
              </w:rPr>
              <w:t>万</w:t>
            </w:r>
            <w:r>
              <w:rPr>
                <w:rFonts w:hint="eastAsia" w:ascii="Times New Roman" w:hAnsi="Times New Roman"/>
                <w:b/>
                <w:sz w:val="24"/>
              </w:rPr>
              <w:t>元）</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lang w:eastAsia="zh-CN"/>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lang w:eastAsia="zh-CN"/>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2"/>
      <w:bookmarkEnd w:id="3"/>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364B9"/>
    <w:rsid w:val="00A53362"/>
    <w:rsid w:val="00AE2F1C"/>
    <w:rsid w:val="00B316F5"/>
    <w:rsid w:val="00B53FCB"/>
    <w:rsid w:val="00BA33DF"/>
    <w:rsid w:val="00C41F0F"/>
    <w:rsid w:val="00C84C99"/>
    <w:rsid w:val="00CA567C"/>
    <w:rsid w:val="00D97302"/>
    <w:rsid w:val="00DD4D9F"/>
    <w:rsid w:val="00F65A99"/>
    <w:rsid w:val="01BD420B"/>
    <w:rsid w:val="02A76009"/>
    <w:rsid w:val="02FC6355"/>
    <w:rsid w:val="04936845"/>
    <w:rsid w:val="066A2989"/>
    <w:rsid w:val="082E244F"/>
    <w:rsid w:val="098D5F59"/>
    <w:rsid w:val="0A382368"/>
    <w:rsid w:val="0AFA5A96"/>
    <w:rsid w:val="0B301D2E"/>
    <w:rsid w:val="0B6010B4"/>
    <w:rsid w:val="0BF615DF"/>
    <w:rsid w:val="0C4B13A5"/>
    <w:rsid w:val="0CD27FFC"/>
    <w:rsid w:val="0D0F4ED6"/>
    <w:rsid w:val="0D350DE1"/>
    <w:rsid w:val="0DAC4D70"/>
    <w:rsid w:val="0DBF6485"/>
    <w:rsid w:val="0E677033"/>
    <w:rsid w:val="0E7F1957"/>
    <w:rsid w:val="0EE428AF"/>
    <w:rsid w:val="101271B8"/>
    <w:rsid w:val="14E84654"/>
    <w:rsid w:val="15200185"/>
    <w:rsid w:val="15304B56"/>
    <w:rsid w:val="17122347"/>
    <w:rsid w:val="17F6222D"/>
    <w:rsid w:val="18461C09"/>
    <w:rsid w:val="186D58D3"/>
    <w:rsid w:val="1871259E"/>
    <w:rsid w:val="19A37076"/>
    <w:rsid w:val="1B266D2D"/>
    <w:rsid w:val="1B481CDF"/>
    <w:rsid w:val="1B4D05AA"/>
    <w:rsid w:val="1BAC4722"/>
    <w:rsid w:val="1BB678E7"/>
    <w:rsid w:val="1C281231"/>
    <w:rsid w:val="1C88336B"/>
    <w:rsid w:val="1DD130CF"/>
    <w:rsid w:val="1E0A001A"/>
    <w:rsid w:val="1E9B5F74"/>
    <w:rsid w:val="1F1D0593"/>
    <w:rsid w:val="1F2324A2"/>
    <w:rsid w:val="1FAE4192"/>
    <w:rsid w:val="1FDE786A"/>
    <w:rsid w:val="2058214A"/>
    <w:rsid w:val="20A2053B"/>
    <w:rsid w:val="20D54F08"/>
    <w:rsid w:val="20ED7DFF"/>
    <w:rsid w:val="21DF2C72"/>
    <w:rsid w:val="22877591"/>
    <w:rsid w:val="22CA3482"/>
    <w:rsid w:val="247F6619"/>
    <w:rsid w:val="26463681"/>
    <w:rsid w:val="271909D4"/>
    <w:rsid w:val="27457A1B"/>
    <w:rsid w:val="278B7B24"/>
    <w:rsid w:val="284301C5"/>
    <w:rsid w:val="29226266"/>
    <w:rsid w:val="29A7364C"/>
    <w:rsid w:val="2A092A55"/>
    <w:rsid w:val="2B970CE2"/>
    <w:rsid w:val="2BD0497A"/>
    <w:rsid w:val="2BF11E95"/>
    <w:rsid w:val="2BFC0981"/>
    <w:rsid w:val="2D7C46D0"/>
    <w:rsid w:val="2DB54EEB"/>
    <w:rsid w:val="2F5D26AF"/>
    <w:rsid w:val="2FB70420"/>
    <w:rsid w:val="2FF22973"/>
    <w:rsid w:val="31B9528D"/>
    <w:rsid w:val="32CD2AF9"/>
    <w:rsid w:val="32E80129"/>
    <w:rsid w:val="33D16649"/>
    <w:rsid w:val="3410163B"/>
    <w:rsid w:val="344A6670"/>
    <w:rsid w:val="352C0BF7"/>
    <w:rsid w:val="35DF103A"/>
    <w:rsid w:val="3609706D"/>
    <w:rsid w:val="36F100CE"/>
    <w:rsid w:val="37164E99"/>
    <w:rsid w:val="37427AD3"/>
    <w:rsid w:val="38190834"/>
    <w:rsid w:val="3839273F"/>
    <w:rsid w:val="39202673"/>
    <w:rsid w:val="39761CB6"/>
    <w:rsid w:val="39A22AAB"/>
    <w:rsid w:val="3A445910"/>
    <w:rsid w:val="3A83468A"/>
    <w:rsid w:val="3A8F1371"/>
    <w:rsid w:val="3AAA1402"/>
    <w:rsid w:val="3ADD50BB"/>
    <w:rsid w:val="3BE1743B"/>
    <w:rsid w:val="3BF758E5"/>
    <w:rsid w:val="3C2B003B"/>
    <w:rsid w:val="3C455B7B"/>
    <w:rsid w:val="3C693B9A"/>
    <w:rsid w:val="3CE02C16"/>
    <w:rsid w:val="3CFC3046"/>
    <w:rsid w:val="3DEC2546"/>
    <w:rsid w:val="3EA40C89"/>
    <w:rsid w:val="3F3026AC"/>
    <w:rsid w:val="3FDC7247"/>
    <w:rsid w:val="40026051"/>
    <w:rsid w:val="40F37FB8"/>
    <w:rsid w:val="42085A83"/>
    <w:rsid w:val="43400963"/>
    <w:rsid w:val="444F0625"/>
    <w:rsid w:val="45392515"/>
    <w:rsid w:val="45BE1E11"/>
    <w:rsid w:val="45EA0429"/>
    <w:rsid w:val="46D1677D"/>
    <w:rsid w:val="46FB0382"/>
    <w:rsid w:val="472C4F7A"/>
    <w:rsid w:val="478661AE"/>
    <w:rsid w:val="47EB6865"/>
    <w:rsid w:val="480706A9"/>
    <w:rsid w:val="497C50C6"/>
    <w:rsid w:val="499F23B8"/>
    <w:rsid w:val="49EF479F"/>
    <w:rsid w:val="4A9D70A2"/>
    <w:rsid w:val="4AB97C54"/>
    <w:rsid w:val="4BC43E4C"/>
    <w:rsid w:val="4C2C6594"/>
    <w:rsid w:val="4C7D185E"/>
    <w:rsid w:val="4DD454D1"/>
    <w:rsid w:val="4E493349"/>
    <w:rsid w:val="4E81291C"/>
    <w:rsid w:val="4F9B5B7A"/>
    <w:rsid w:val="50277BC9"/>
    <w:rsid w:val="50D15CF8"/>
    <w:rsid w:val="51066F16"/>
    <w:rsid w:val="517F0FED"/>
    <w:rsid w:val="51AE40DC"/>
    <w:rsid w:val="51AE6039"/>
    <w:rsid w:val="52075749"/>
    <w:rsid w:val="52095598"/>
    <w:rsid w:val="522B1438"/>
    <w:rsid w:val="522E717A"/>
    <w:rsid w:val="52B14033"/>
    <w:rsid w:val="533253F0"/>
    <w:rsid w:val="53455021"/>
    <w:rsid w:val="537A7089"/>
    <w:rsid w:val="538452A3"/>
    <w:rsid w:val="538A508B"/>
    <w:rsid w:val="53D63625"/>
    <w:rsid w:val="5422686A"/>
    <w:rsid w:val="55356E1A"/>
    <w:rsid w:val="55BE2D22"/>
    <w:rsid w:val="560501F2"/>
    <w:rsid w:val="568E6439"/>
    <w:rsid w:val="56B93C5A"/>
    <w:rsid w:val="56D330DE"/>
    <w:rsid w:val="578E0FAB"/>
    <w:rsid w:val="58360F93"/>
    <w:rsid w:val="58BA1F78"/>
    <w:rsid w:val="599D70BF"/>
    <w:rsid w:val="59B60181"/>
    <w:rsid w:val="5AA9706F"/>
    <w:rsid w:val="5AAD383C"/>
    <w:rsid w:val="5B505E97"/>
    <w:rsid w:val="5C866026"/>
    <w:rsid w:val="5DC20E2A"/>
    <w:rsid w:val="5DC40EC2"/>
    <w:rsid w:val="5DD8138D"/>
    <w:rsid w:val="5DEF0CB7"/>
    <w:rsid w:val="5E435D5B"/>
    <w:rsid w:val="5EBF7E2B"/>
    <w:rsid w:val="5F9B0133"/>
    <w:rsid w:val="611E7ED2"/>
    <w:rsid w:val="611F03B9"/>
    <w:rsid w:val="617A7CE6"/>
    <w:rsid w:val="624A3B5C"/>
    <w:rsid w:val="62892A63"/>
    <w:rsid w:val="64633872"/>
    <w:rsid w:val="659F01D8"/>
    <w:rsid w:val="66350708"/>
    <w:rsid w:val="6686620A"/>
    <w:rsid w:val="66F25230"/>
    <w:rsid w:val="68871E97"/>
    <w:rsid w:val="68B977C1"/>
    <w:rsid w:val="692844CB"/>
    <w:rsid w:val="69B343B3"/>
    <w:rsid w:val="69CD4345"/>
    <w:rsid w:val="69DC778F"/>
    <w:rsid w:val="69E4351C"/>
    <w:rsid w:val="6A4F2F1A"/>
    <w:rsid w:val="6ABE0C43"/>
    <w:rsid w:val="6B8A20A2"/>
    <w:rsid w:val="6B8C2459"/>
    <w:rsid w:val="6BB8153D"/>
    <w:rsid w:val="6BDF60AB"/>
    <w:rsid w:val="6C320399"/>
    <w:rsid w:val="6C755241"/>
    <w:rsid w:val="6D50327E"/>
    <w:rsid w:val="6E671E41"/>
    <w:rsid w:val="6EA34B5F"/>
    <w:rsid w:val="6F514ADE"/>
    <w:rsid w:val="6F833AC6"/>
    <w:rsid w:val="6FA74BB9"/>
    <w:rsid w:val="6FD902CD"/>
    <w:rsid w:val="713951B9"/>
    <w:rsid w:val="71593422"/>
    <w:rsid w:val="72741FEF"/>
    <w:rsid w:val="727B1B10"/>
    <w:rsid w:val="72B059E8"/>
    <w:rsid w:val="732C647B"/>
    <w:rsid w:val="7353202C"/>
    <w:rsid w:val="735A34D3"/>
    <w:rsid w:val="74386650"/>
    <w:rsid w:val="7466395C"/>
    <w:rsid w:val="74BA06CD"/>
    <w:rsid w:val="74CD163D"/>
    <w:rsid w:val="74F117E3"/>
    <w:rsid w:val="762A7AD4"/>
    <w:rsid w:val="76481D09"/>
    <w:rsid w:val="76F43665"/>
    <w:rsid w:val="770737D2"/>
    <w:rsid w:val="78063C29"/>
    <w:rsid w:val="7A1B6C1E"/>
    <w:rsid w:val="7A351B2A"/>
    <w:rsid w:val="7AB7598A"/>
    <w:rsid w:val="7B310FBD"/>
    <w:rsid w:val="7BB3231A"/>
    <w:rsid w:val="7C3F13C0"/>
    <w:rsid w:val="7C754515"/>
    <w:rsid w:val="7D080444"/>
    <w:rsid w:val="7D8D4B15"/>
    <w:rsid w:val="7E0D277C"/>
    <w:rsid w:val="7E580D51"/>
    <w:rsid w:val="7E970D8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qFormat/>
    <w:uiPriority w:val="0"/>
    <w:pPr>
      <w:spacing w:after="120"/>
    </w:pPr>
    <w:rPr>
      <w:rFonts w:ascii="Times New Roman" w:hAnsi="Times New Roman"/>
    </w:rPr>
  </w:style>
  <w:style w:type="paragraph" w:styleId="6">
    <w:name w:val="Normal Indent"/>
    <w:basedOn w:val="1"/>
    <w:next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Indent"/>
    <w:basedOn w:val="1"/>
    <w:link w:val="51"/>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7"/>
    <w:qFormat/>
    <w:uiPriority w:val="0"/>
    <w:rPr>
      <w:rFonts w:ascii="宋体" w:hAnsi="Courier New" w:cs="Courier New"/>
      <w:szCs w:val="21"/>
    </w:rPr>
  </w:style>
  <w:style w:type="paragraph" w:styleId="11">
    <w:name w:val="Date"/>
    <w:basedOn w:val="1"/>
    <w:next w:val="1"/>
    <w:link w:val="56"/>
    <w:qFormat/>
    <w:uiPriority w:val="0"/>
    <w:pPr>
      <w:ind w:left="100" w:leftChars="2500"/>
    </w:pPr>
    <w:rPr>
      <w:rFonts w:ascii="Times New Roman" w:hAnsi="Times New Roman"/>
    </w:rPr>
  </w:style>
  <w:style w:type="paragraph" w:styleId="12">
    <w:name w:val="Body Text Indent 2"/>
    <w:basedOn w:val="1"/>
    <w:link w:val="55"/>
    <w:qFormat/>
    <w:uiPriority w:val="0"/>
    <w:pPr>
      <w:spacing w:after="120" w:line="480" w:lineRule="auto"/>
      <w:ind w:left="420" w:leftChars="200"/>
    </w:pPr>
  </w:style>
  <w:style w:type="paragraph" w:styleId="13">
    <w:name w:val="Balloon Text"/>
    <w:basedOn w:val="1"/>
    <w:link w:val="66"/>
    <w:qFormat/>
    <w:uiPriority w:val="0"/>
    <w:rPr>
      <w:rFonts w:ascii="Times New Roman" w:hAnsi="Times New Roman"/>
      <w:sz w:val="18"/>
      <w:szCs w:val="18"/>
    </w:rPr>
  </w:style>
  <w:style w:type="paragraph" w:styleId="14">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4"/>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2"/>
    <w:qFormat/>
    <w:uiPriority w:val="0"/>
    <w:rPr>
      <w:b/>
      <w:bCs/>
    </w:rPr>
  </w:style>
  <w:style w:type="paragraph" w:styleId="21">
    <w:name w:val="Body Text First Indent"/>
    <w:basedOn w:val="2"/>
    <w:qFormat/>
    <w:uiPriority w:val="0"/>
    <w:pPr>
      <w:spacing w:after="120"/>
      <w:ind w:firstLine="420" w:firstLineChars="100"/>
    </w:pPr>
    <w:rPr>
      <w:rFonts w:ascii="Calibri" w:hAnsi="Calibri" w:eastAsia="宋体"/>
      <w:kern w:val="2"/>
      <w:sz w:val="21"/>
    </w:r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3"/>
    <w:qFormat/>
    <w:uiPriority w:val="0"/>
    <w:rPr>
      <w:rFonts w:ascii="Calibri" w:hAnsi="Calibri"/>
      <w:b/>
      <w:bCs/>
      <w:kern w:val="44"/>
      <w:sz w:val="44"/>
      <w:szCs w:val="44"/>
    </w:rPr>
  </w:style>
  <w:style w:type="character" w:customStyle="1" w:styleId="30">
    <w:name w:val="标题 2 Char"/>
    <w:basedOn w:val="23"/>
    <w:link w:val="4"/>
    <w:qFormat/>
    <w:uiPriority w:val="0"/>
    <w:rPr>
      <w:rFonts w:ascii="Arial" w:hAnsi="Arial" w:eastAsia="黑体"/>
      <w:b/>
      <w:bCs/>
      <w:sz w:val="32"/>
      <w:szCs w:val="32"/>
    </w:rPr>
  </w:style>
  <w:style w:type="character" w:customStyle="1" w:styleId="31">
    <w:name w:val="标题 3 Char"/>
    <w:basedOn w:val="23"/>
    <w:link w:val="5"/>
    <w:qFormat/>
    <w:uiPriority w:val="0"/>
    <w:rPr>
      <w:rFonts w:ascii="Calibri" w:hAnsi="Calibri"/>
      <w:b/>
      <w:bCs/>
      <w:kern w:val="2"/>
      <w:sz w:val="32"/>
      <w:szCs w:val="32"/>
    </w:rPr>
  </w:style>
  <w:style w:type="character" w:customStyle="1" w:styleId="32">
    <w:name w:val="批注框文本 Char"/>
    <w:link w:val="13"/>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link w:val="15"/>
    <w:qFormat/>
    <w:uiPriority w:val="0"/>
    <w:rPr>
      <w:kern w:val="2"/>
      <w:sz w:val="18"/>
      <w:szCs w:val="18"/>
    </w:rPr>
  </w:style>
  <w:style w:type="character" w:customStyle="1" w:styleId="35">
    <w:name w:val="正文文本缩进 Char"/>
    <w:link w:val="8"/>
    <w:qFormat/>
    <w:uiPriority w:val="0"/>
    <w:rPr>
      <w:kern w:val="2"/>
      <w:sz w:val="21"/>
      <w:szCs w:val="24"/>
    </w:rPr>
  </w:style>
  <w:style w:type="character" w:customStyle="1" w:styleId="36">
    <w:name w:val="批注主题 Char"/>
    <w:link w:val="20"/>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link w:val="10"/>
    <w:qFormat/>
    <w:locked/>
    <w:uiPriority w:val="0"/>
    <w:rPr>
      <w:rFonts w:ascii="宋体" w:hAnsi="Courier New" w:cs="Courier New"/>
      <w:kern w:val="2"/>
      <w:sz w:val="21"/>
      <w:szCs w:val="21"/>
    </w:rPr>
  </w:style>
  <w:style w:type="character" w:customStyle="1" w:styleId="40">
    <w:name w:val="日期 Char"/>
    <w:link w:val="11"/>
    <w:qFormat/>
    <w:uiPriority w:val="0"/>
    <w:rPr>
      <w:kern w:val="2"/>
      <w:sz w:val="21"/>
      <w:szCs w:val="24"/>
    </w:rPr>
  </w:style>
  <w:style w:type="character" w:customStyle="1" w:styleId="41">
    <w:name w:val="正文文本 Char"/>
    <w:link w:val="2"/>
    <w:qFormat/>
    <w:uiPriority w:val="0"/>
    <w:rPr>
      <w:kern w:val="2"/>
      <w:sz w:val="21"/>
      <w:szCs w:val="24"/>
    </w:rPr>
  </w:style>
  <w:style w:type="character" w:customStyle="1" w:styleId="42">
    <w:name w:val="标题 Char"/>
    <w:link w:val="19"/>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link w:val="7"/>
    <w:qFormat/>
    <w:uiPriority w:val="0"/>
    <w:rPr>
      <w:kern w:val="2"/>
      <w:sz w:val="21"/>
      <w:szCs w:val="24"/>
    </w:rPr>
  </w:style>
  <w:style w:type="character" w:customStyle="1" w:styleId="46">
    <w:name w:val="NormalCharacter"/>
    <w:qFormat/>
    <w:uiPriority w:val="0"/>
  </w:style>
  <w:style w:type="character" w:customStyle="1" w:styleId="47">
    <w:name w:val="页脚 Char"/>
    <w:link w:val="14"/>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Char1"/>
    <w:basedOn w:val="23"/>
    <w:link w:val="2"/>
    <w:qFormat/>
    <w:uiPriority w:val="0"/>
    <w:rPr>
      <w:rFonts w:ascii="Calibri" w:hAnsi="Calibri"/>
      <w:kern w:val="2"/>
      <w:sz w:val="21"/>
      <w:szCs w:val="24"/>
    </w:rPr>
  </w:style>
  <w:style w:type="character" w:customStyle="1" w:styleId="51">
    <w:name w:val="正文文本缩进 Char1"/>
    <w:basedOn w:val="23"/>
    <w:link w:val="8"/>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19"/>
    <w:qFormat/>
    <w:uiPriority w:val="0"/>
    <w:rPr>
      <w:rFonts w:asciiTheme="majorHAnsi" w:hAnsiTheme="majorHAnsi" w:cstheme="majorBidi"/>
      <w:b/>
      <w:bCs/>
      <w:kern w:val="2"/>
      <w:sz w:val="32"/>
      <w:szCs w:val="32"/>
    </w:rPr>
  </w:style>
  <w:style w:type="character" w:customStyle="1" w:styleId="55">
    <w:name w:val="正文文本缩进 2 Char"/>
    <w:basedOn w:val="23"/>
    <w:link w:val="12"/>
    <w:qFormat/>
    <w:uiPriority w:val="0"/>
    <w:rPr>
      <w:rFonts w:ascii="Calibri" w:hAnsi="Calibri"/>
      <w:kern w:val="2"/>
      <w:sz w:val="21"/>
      <w:szCs w:val="24"/>
    </w:rPr>
  </w:style>
  <w:style w:type="character" w:customStyle="1" w:styleId="56">
    <w:name w:val="日期 Char1"/>
    <w:basedOn w:val="23"/>
    <w:link w:val="11"/>
    <w:qFormat/>
    <w:uiPriority w:val="0"/>
    <w:rPr>
      <w:rFonts w:ascii="Calibri" w:hAnsi="Calibri"/>
      <w:kern w:val="2"/>
      <w:sz w:val="21"/>
      <w:szCs w:val="24"/>
    </w:rPr>
  </w:style>
  <w:style w:type="character" w:customStyle="1" w:styleId="57">
    <w:name w:val="批注文字 Char1"/>
    <w:basedOn w:val="23"/>
    <w:link w:val="7"/>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Char1"/>
    <w:basedOn w:val="57"/>
    <w:link w:val="20"/>
    <w:qFormat/>
    <w:uiPriority w:val="0"/>
    <w:rPr>
      <w:b/>
      <w:bCs/>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4"/>
    <w:qFormat/>
    <w:uiPriority w:val="0"/>
    <w:rPr>
      <w:rFonts w:ascii="Calibri" w:hAnsi="Calibri"/>
      <w:kern w:val="2"/>
      <w:sz w:val="18"/>
      <w:szCs w:val="18"/>
    </w:rPr>
  </w:style>
  <w:style w:type="character" w:customStyle="1" w:styleId="66">
    <w:name w:val="批注框文本 Char1"/>
    <w:basedOn w:val="23"/>
    <w:link w:val="13"/>
    <w:qFormat/>
    <w:uiPriority w:val="0"/>
    <w:rPr>
      <w:rFonts w:ascii="Calibri" w:hAnsi="Calibri"/>
      <w:kern w:val="2"/>
      <w:sz w:val="18"/>
      <w:szCs w:val="18"/>
    </w:rPr>
  </w:style>
  <w:style w:type="character" w:customStyle="1" w:styleId="67">
    <w:name w:val="纯文本 Char2"/>
    <w:basedOn w:val="23"/>
    <w:link w:val="10"/>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5"/>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3">
    <w:name w:val="列出段落1"/>
    <w:basedOn w:val="1"/>
    <w:qFormat/>
    <w:uiPriority w:val="0"/>
    <w:pPr>
      <w:ind w:firstLine="420" w:firstLineChars="200"/>
    </w:pPr>
    <w:rPr>
      <w:rFonts w:ascii="Calibri" w:hAnsi="Calibri"/>
      <w:szCs w:val="22"/>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8215</Words>
  <Characters>8568</Characters>
  <Lines>102</Lines>
  <Paragraphs>28</Paragraphs>
  <TotalTime>13</TotalTime>
  <ScaleCrop>false</ScaleCrop>
  <LinksUpToDate>false</LinksUpToDate>
  <CharactersWithSpaces>10112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2023-04-18T03:18:23Z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F47F42B6397243A990682B8866FFC27D</vt:lpwstr>
  </property>
</Properties>
</file>