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9781"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70"/>
        <w:gridCol w:w="6863"/>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shd w:val="clear" w:color="auto" w:fill="auto"/>
            <w:noWrap/>
            <w:vAlign w:val="center"/>
          </w:tcPr>
          <w:p>
            <w:pPr>
              <w:widowControl/>
              <w:spacing w:line="360" w:lineRule="auto"/>
              <w:rPr>
                <w:rFonts w:ascii="宋体" w:hAnsi="宋体" w:cs="宋体"/>
                <w:color w:val="000000"/>
                <w:kern w:val="0"/>
                <w:sz w:val="24"/>
              </w:rPr>
            </w:pPr>
            <w:r>
              <w:rPr>
                <w:rFonts w:hint="eastAsia" w:ascii="宋体" w:hAnsi="宋体" w:cs="宋体"/>
                <w:color w:val="000000"/>
                <w:kern w:val="0"/>
                <w:sz w:val="24"/>
              </w:rPr>
              <w:t>序号</w:t>
            </w:r>
          </w:p>
        </w:tc>
        <w:tc>
          <w:tcPr>
            <w:tcW w:w="970" w:type="dxa"/>
            <w:shd w:val="clear" w:color="auto" w:fill="auto"/>
            <w:noWrap/>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名称</w:t>
            </w:r>
          </w:p>
        </w:tc>
        <w:tc>
          <w:tcPr>
            <w:tcW w:w="6863" w:type="dxa"/>
            <w:shd w:val="clear" w:color="auto" w:fill="auto"/>
            <w:noWrap/>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功能要求</w:t>
            </w:r>
          </w:p>
        </w:tc>
        <w:tc>
          <w:tcPr>
            <w:tcW w:w="1097" w:type="dxa"/>
            <w:shd w:val="clear" w:color="auto" w:fill="auto"/>
            <w:noWrap/>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shd w:val="clear" w:color="auto" w:fill="auto"/>
            <w:noWrap/>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1</w:t>
            </w:r>
          </w:p>
        </w:tc>
        <w:tc>
          <w:tcPr>
            <w:tcW w:w="970" w:type="dxa"/>
            <w:shd w:val="clear" w:color="auto" w:fill="auto"/>
            <w:noWrap/>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慢病信息采集及管理软件</w:t>
            </w:r>
          </w:p>
        </w:tc>
        <w:tc>
          <w:tcPr>
            <w:tcW w:w="6863" w:type="dxa"/>
            <w:shd w:val="clear" w:color="auto" w:fill="auto"/>
          </w:tcPr>
          <w:p>
            <w:pPr>
              <w:spacing w:line="360" w:lineRule="auto"/>
              <w:rPr>
                <w:rFonts w:ascii="宋体" w:hAnsi="宋体" w:cs="宋体"/>
                <w:sz w:val="24"/>
              </w:rPr>
            </w:pPr>
            <w:r>
              <w:rPr>
                <w:rFonts w:hint="eastAsia" w:ascii="宋体" w:hAnsi="宋体" w:cs="宋体"/>
                <w:color w:val="000000"/>
                <w:kern w:val="0"/>
                <w:sz w:val="24"/>
              </w:rPr>
              <w:t>需依照国家的对慢病管理的相关要求，定制开发慢病监测管理平台，首先建立与院内各大系统（HIS/LIS/PACS）的数据整合，获得患者数据，在此基础上开发实现患者管理，数据上报等功能，极大的减少数据收集统计分析的工作量，提升了慢病管理的工作效率。</w:t>
            </w:r>
          </w:p>
          <w:p>
            <w:pPr>
              <w:numPr>
                <w:ilvl w:val="0"/>
                <w:numId w:val="2"/>
              </w:numPr>
              <w:spacing w:line="360" w:lineRule="auto"/>
              <w:rPr>
                <w:rFonts w:ascii="宋体" w:hAnsi="宋体" w:cs="宋体"/>
                <w:sz w:val="24"/>
              </w:rPr>
            </w:pPr>
            <w:r>
              <w:rPr>
                <w:rFonts w:hint="eastAsia" w:ascii="宋体" w:hAnsi="宋体" w:cs="宋体"/>
                <w:sz w:val="24"/>
              </w:rPr>
              <w:t xml:space="preserve">门户包含首页、慢病报告卡、系统设置等功能模块； </w:t>
            </w:r>
          </w:p>
          <w:p>
            <w:pPr>
              <w:numPr>
                <w:ilvl w:val="0"/>
                <w:numId w:val="2"/>
              </w:numPr>
              <w:spacing w:line="360" w:lineRule="auto"/>
              <w:rPr>
                <w:rFonts w:ascii="宋体" w:hAnsi="宋体" w:cs="宋体"/>
                <w:sz w:val="24"/>
              </w:rPr>
            </w:pPr>
            <w:r>
              <w:rPr>
                <w:rFonts w:hint="eastAsia" w:ascii="宋体" w:hAnsi="宋体" w:cs="宋体"/>
                <w:sz w:val="24"/>
              </w:rPr>
              <w:t>门户作为慢病患者管理平台的唯一、统一入口，支持根据不通用户角色，显示不同菜单；</w:t>
            </w:r>
          </w:p>
          <w:p>
            <w:pPr>
              <w:numPr>
                <w:ilvl w:val="0"/>
                <w:numId w:val="2"/>
              </w:numPr>
              <w:spacing w:line="360" w:lineRule="auto"/>
              <w:rPr>
                <w:rFonts w:ascii="宋体" w:hAnsi="宋体" w:cs="宋体"/>
                <w:sz w:val="24"/>
              </w:rPr>
            </w:pPr>
            <w:r>
              <w:rPr>
                <w:rFonts w:hint="eastAsia" w:ascii="宋体" w:hAnsi="宋体" w:cs="宋体"/>
                <w:sz w:val="24"/>
              </w:rPr>
              <w:t>与院内 HIS、病案首页管理系统接口集成，实现与医院HIS系统、病案首页管理系统基本信息，诊断信息的同步；</w:t>
            </w:r>
          </w:p>
          <w:p>
            <w:pPr>
              <w:numPr>
                <w:ilvl w:val="0"/>
                <w:numId w:val="2"/>
              </w:numPr>
              <w:spacing w:line="360" w:lineRule="auto"/>
              <w:rPr>
                <w:rFonts w:ascii="宋体" w:hAnsi="宋体" w:cs="宋体"/>
                <w:sz w:val="24"/>
              </w:rPr>
            </w:pPr>
            <w:r>
              <w:rPr>
                <w:rFonts w:hint="eastAsia" w:ascii="宋体" w:hAnsi="宋体" w:cs="宋体"/>
                <w:sz w:val="24"/>
              </w:rPr>
              <w:t xml:space="preserve">平台支持多途径的慢病筛查，支持院内 HIS、病案首页管理系统、手工添加等方式筛查慢病患者； </w:t>
            </w:r>
          </w:p>
          <w:p>
            <w:pPr>
              <w:numPr>
                <w:ilvl w:val="0"/>
                <w:numId w:val="2"/>
              </w:numPr>
              <w:spacing w:line="360" w:lineRule="auto"/>
              <w:rPr>
                <w:rFonts w:ascii="宋体" w:hAnsi="宋体" w:cs="宋体"/>
                <w:sz w:val="24"/>
              </w:rPr>
            </w:pPr>
            <w:r>
              <w:rPr>
                <w:rFonts w:hint="eastAsia" w:ascii="宋体" w:hAnsi="宋体" w:cs="宋体"/>
                <w:sz w:val="24"/>
              </w:rPr>
              <w:t xml:space="preserve">平台支持多种数据过滤方式，支持通过患者身份证号、姓名、是否完成筛查、患者信息来源等方式进行快速数据过滤；  </w:t>
            </w:r>
          </w:p>
          <w:p>
            <w:pPr>
              <w:numPr>
                <w:ilvl w:val="0"/>
                <w:numId w:val="2"/>
              </w:numPr>
              <w:spacing w:line="360" w:lineRule="auto"/>
              <w:rPr>
                <w:rFonts w:ascii="宋体" w:hAnsi="宋体" w:cs="宋体"/>
                <w:sz w:val="24"/>
              </w:rPr>
            </w:pPr>
            <w:r>
              <w:rPr>
                <w:rFonts w:hint="eastAsia" w:ascii="宋体" w:hAnsi="宋体" w:cs="宋体"/>
                <w:sz w:val="24"/>
              </w:rPr>
              <w:t>支持肿瘤报告卡数据自动筛选、抓取、手工填写、上报功能；</w:t>
            </w:r>
          </w:p>
          <w:p>
            <w:pPr>
              <w:numPr>
                <w:ilvl w:val="0"/>
                <w:numId w:val="2"/>
              </w:numPr>
              <w:spacing w:line="360" w:lineRule="auto"/>
              <w:rPr>
                <w:rFonts w:ascii="宋体" w:hAnsi="宋体" w:cs="宋体"/>
                <w:sz w:val="24"/>
              </w:rPr>
            </w:pPr>
            <w:r>
              <w:rPr>
                <w:rFonts w:hint="eastAsia" w:ascii="宋体" w:hAnsi="宋体" w:cs="宋体"/>
                <w:sz w:val="24"/>
              </w:rPr>
              <w:t>支持死亡报告卡数据自动筛选、抓取、手工填写、上报功能；</w:t>
            </w:r>
          </w:p>
          <w:p>
            <w:pPr>
              <w:numPr>
                <w:ilvl w:val="0"/>
                <w:numId w:val="2"/>
              </w:numPr>
              <w:spacing w:line="360" w:lineRule="auto"/>
              <w:rPr>
                <w:rFonts w:ascii="宋体" w:hAnsi="宋体" w:cs="宋体"/>
                <w:sz w:val="24"/>
              </w:rPr>
            </w:pPr>
            <w:r>
              <w:rPr>
                <w:rFonts w:hint="eastAsia" w:ascii="宋体" w:hAnsi="宋体" w:cs="宋体"/>
                <w:sz w:val="24"/>
              </w:rPr>
              <w:t xml:space="preserve">支持按照发《2022年绵阳市心脑血管疾病发病事件监测实施方案》要求报告病种 1.脑卒中（I60.I61.I63.I64）：包括蛛网膜下腔出血、脑 出血、脑梗死及未分类脑卒中，不包括一过性脑缺血发作（TIA） 及外伤性、代谢性、中毒性、肿瘤性（新生物性）或中枢神经系 ― 6 ― 统感染所致神经系统异常表现的疾病。 2.急性心急梗死（I21-I22）。 3.心绞痛（I20）：心绞痛只报告接受过 PTCA（经皮冠状动 脉腔内血管成形术）和/或支架植入和/或 CABG（冠状动脉旁路 移植术）的病例。 4.心脏性猝死（I46.1）。 </w:t>
            </w:r>
          </w:p>
          <w:p>
            <w:pPr>
              <w:numPr>
                <w:ilvl w:val="0"/>
                <w:numId w:val="2"/>
              </w:numPr>
              <w:spacing w:line="360" w:lineRule="auto"/>
              <w:rPr>
                <w:rFonts w:ascii="宋体" w:hAnsi="宋体" w:cs="宋体"/>
                <w:sz w:val="24"/>
              </w:rPr>
            </w:pPr>
            <w:r>
              <w:rPr>
                <w:rFonts w:hint="eastAsia" w:ascii="宋体" w:hAnsi="宋体" w:cs="宋体"/>
                <w:sz w:val="24"/>
              </w:rPr>
              <w:t>支持自定义报表，多维度统计功能；</w:t>
            </w:r>
          </w:p>
          <w:p>
            <w:pPr>
              <w:numPr>
                <w:ilvl w:val="0"/>
                <w:numId w:val="2"/>
              </w:numPr>
              <w:spacing w:line="360" w:lineRule="auto"/>
              <w:rPr>
                <w:rFonts w:ascii="宋体" w:hAnsi="宋体" w:cs="宋体"/>
                <w:color w:val="000000"/>
                <w:kern w:val="0"/>
                <w:sz w:val="24"/>
              </w:rPr>
            </w:pPr>
            <w:r>
              <w:rPr>
                <w:rFonts w:hint="eastAsia" w:ascii="宋体" w:hAnsi="宋体" w:cs="宋体"/>
                <w:sz w:val="24"/>
              </w:rPr>
              <w:t>支持 excel 数据导出；</w:t>
            </w:r>
          </w:p>
        </w:tc>
        <w:tc>
          <w:tcPr>
            <w:tcW w:w="1097" w:type="dxa"/>
            <w:shd w:val="clear" w:color="auto" w:fill="auto"/>
            <w:noWrap/>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51" w:type="dxa"/>
            <w:shd w:val="clear" w:color="auto" w:fill="auto"/>
            <w:noWrap/>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2</w:t>
            </w:r>
          </w:p>
        </w:tc>
        <w:tc>
          <w:tcPr>
            <w:tcW w:w="970" w:type="dxa"/>
            <w:shd w:val="clear" w:color="auto" w:fill="auto"/>
            <w:noWrap/>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DRG精细化管理平台</w:t>
            </w:r>
          </w:p>
        </w:tc>
        <w:tc>
          <w:tcPr>
            <w:tcW w:w="6863" w:type="dxa"/>
            <w:shd w:val="clear" w:color="auto" w:fill="auto"/>
          </w:tcPr>
          <w:p>
            <w:pPr>
              <w:widowControl/>
              <w:spacing w:line="360" w:lineRule="auto"/>
              <w:jc w:val="left"/>
              <w:rPr>
                <w:rFonts w:ascii="宋体" w:hAnsi="宋体" w:cs="宋体"/>
                <w:sz w:val="24"/>
              </w:rPr>
            </w:pPr>
            <w:r>
              <w:rPr>
                <w:rFonts w:hint="eastAsia" w:ascii="宋体" w:hAnsi="宋体" w:cs="宋体"/>
                <w:sz w:val="24"/>
              </w:rPr>
              <w:t>要求具备如下功能</w:t>
            </w:r>
            <w:r>
              <w:rPr>
                <w:rFonts w:hint="eastAsia" w:ascii="宋体" w:hAnsi="宋体" w:cs="宋体"/>
                <w:sz w:val="24"/>
              </w:rPr>
              <w:br w:type="textWrapping"/>
            </w:r>
            <w:r>
              <w:rPr>
                <w:rFonts w:hint="eastAsia" w:ascii="宋体" w:hAnsi="宋体" w:cs="宋体"/>
                <w:sz w:val="24"/>
              </w:rPr>
              <w:t>1. 全流程病历质控及病案校验</w:t>
            </w:r>
            <w:r>
              <w:rPr>
                <w:rFonts w:hint="eastAsia" w:ascii="宋体" w:hAnsi="宋体" w:cs="宋体"/>
                <w:sz w:val="24"/>
              </w:rPr>
              <w:br w:type="textWrapping"/>
            </w:r>
            <w:r>
              <w:rPr>
                <w:rFonts w:hint="eastAsia" w:ascii="宋体" w:hAnsi="宋体" w:cs="宋体"/>
                <w:sz w:val="24"/>
              </w:rPr>
              <w:t>2. DRG分组及预分组</w:t>
            </w:r>
            <w:r>
              <w:rPr>
                <w:rFonts w:hint="eastAsia" w:ascii="宋体" w:hAnsi="宋体" w:cs="宋体"/>
                <w:sz w:val="24"/>
              </w:rPr>
              <w:br w:type="textWrapping"/>
            </w:r>
            <w:r>
              <w:rPr>
                <w:rFonts w:hint="eastAsia" w:ascii="宋体" w:hAnsi="宋体" w:cs="宋体"/>
                <w:sz w:val="24"/>
              </w:rPr>
              <w:t>3. DRG在院运行监管</w:t>
            </w:r>
            <w:r>
              <w:rPr>
                <w:rFonts w:hint="eastAsia" w:ascii="宋体" w:hAnsi="宋体" w:cs="宋体"/>
                <w:sz w:val="24"/>
              </w:rPr>
              <w:br w:type="textWrapping"/>
            </w:r>
            <w:r>
              <w:rPr>
                <w:rFonts w:hint="eastAsia" w:ascii="宋体" w:hAnsi="宋体" w:cs="宋体"/>
                <w:sz w:val="24"/>
              </w:rPr>
              <w:t>4. 医保结算清单</w:t>
            </w:r>
            <w:r>
              <w:rPr>
                <w:rFonts w:hint="eastAsia" w:ascii="宋体" w:hAnsi="宋体" w:cs="宋体"/>
                <w:sz w:val="24"/>
              </w:rPr>
              <w:br w:type="textWrapping"/>
            </w:r>
            <w:r>
              <w:rPr>
                <w:rFonts w:hint="eastAsia" w:ascii="宋体" w:hAnsi="宋体" w:cs="宋体"/>
                <w:sz w:val="24"/>
              </w:rPr>
              <w:t>5. 医保结算清单质控</w:t>
            </w:r>
            <w:r>
              <w:rPr>
                <w:rFonts w:hint="eastAsia" w:ascii="宋体" w:hAnsi="宋体" w:cs="宋体"/>
                <w:sz w:val="24"/>
              </w:rPr>
              <w:br w:type="textWrapping"/>
            </w:r>
            <w:r>
              <w:rPr>
                <w:rFonts w:hint="eastAsia" w:ascii="宋体" w:hAnsi="宋体" w:cs="宋体"/>
                <w:sz w:val="24"/>
              </w:rPr>
              <w:t>6. 疾病编码库自动映射及灰码屏蔽</w:t>
            </w:r>
            <w:r>
              <w:rPr>
                <w:rFonts w:hint="eastAsia" w:ascii="宋体" w:hAnsi="宋体" w:cs="宋体"/>
                <w:sz w:val="24"/>
              </w:rPr>
              <w:br w:type="textWrapping"/>
            </w:r>
            <w:r>
              <w:rPr>
                <w:rFonts w:hint="eastAsia" w:ascii="宋体" w:hAnsi="宋体" w:cs="宋体"/>
                <w:sz w:val="24"/>
              </w:rPr>
              <w:t>7. 数据质量分析</w:t>
            </w:r>
            <w:r>
              <w:rPr>
                <w:rFonts w:hint="eastAsia" w:ascii="宋体" w:hAnsi="宋体" w:cs="宋体"/>
                <w:sz w:val="24"/>
              </w:rPr>
              <w:br w:type="textWrapping"/>
            </w:r>
            <w:r>
              <w:rPr>
                <w:rFonts w:hint="eastAsia" w:ascii="宋体" w:hAnsi="宋体" w:cs="宋体"/>
                <w:sz w:val="24"/>
              </w:rPr>
              <w:t>8. DRG综合数据分析</w:t>
            </w:r>
            <w:r>
              <w:rPr>
                <w:rFonts w:hint="eastAsia" w:ascii="宋体" w:hAnsi="宋体" w:cs="宋体"/>
                <w:sz w:val="24"/>
              </w:rPr>
              <w:br w:type="textWrapping"/>
            </w:r>
            <w:r>
              <w:rPr>
                <w:rFonts w:hint="eastAsia" w:ascii="宋体" w:hAnsi="宋体" w:cs="宋体"/>
                <w:sz w:val="24"/>
              </w:rPr>
              <w:t>9. 接口对接</w:t>
            </w:r>
          </w:p>
          <w:p>
            <w:pPr>
              <w:spacing w:line="360" w:lineRule="auto"/>
              <w:rPr>
                <w:rFonts w:ascii="宋体" w:hAnsi="宋体" w:cs="宋体"/>
                <w:sz w:val="24"/>
              </w:rPr>
            </w:pPr>
            <w:r>
              <w:rPr>
                <w:rFonts w:hint="eastAsia" w:ascii="宋体" w:hAnsi="宋体" w:cs="宋体"/>
                <w:sz w:val="24"/>
              </w:rPr>
              <w:t>10.其他要求：须根据医院的实际情况对产品流程及功能进行定制化开发，并提供源代码以便医院维护使用。</w:t>
            </w:r>
          </w:p>
        </w:tc>
        <w:tc>
          <w:tcPr>
            <w:tcW w:w="1097" w:type="dxa"/>
            <w:shd w:val="clear" w:color="auto" w:fill="auto"/>
            <w:noWrap/>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shd w:val="clear" w:color="auto" w:fill="auto"/>
            <w:noWrap/>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3</w:t>
            </w:r>
          </w:p>
        </w:tc>
        <w:tc>
          <w:tcPr>
            <w:tcW w:w="970" w:type="dxa"/>
            <w:shd w:val="clear" w:color="auto" w:fill="auto"/>
            <w:noWrap/>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病理工作站软件</w:t>
            </w:r>
          </w:p>
        </w:tc>
        <w:tc>
          <w:tcPr>
            <w:tcW w:w="6863" w:type="dxa"/>
            <w:shd w:val="clear" w:color="auto" w:fill="auto"/>
            <w:noWrap/>
          </w:tcPr>
          <w:p>
            <w:pPr>
              <w:spacing w:line="360" w:lineRule="auto"/>
              <w:rPr>
                <w:rFonts w:ascii="宋体" w:hAnsi="宋体" w:cs="宋体"/>
                <w:b/>
                <w:bCs/>
                <w:sz w:val="24"/>
              </w:rPr>
            </w:pPr>
            <w:r>
              <w:rPr>
                <w:rFonts w:hint="eastAsia" w:ascii="宋体" w:hAnsi="宋体" w:cs="宋体"/>
                <w:b/>
                <w:bCs/>
                <w:sz w:val="24"/>
              </w:rPr>
              <w:t>一、特检工作站软件1套：</w:t>
            </w:r>
          </w:p>
          <w:p>
            <w:pPr>
              <w:pStyle w:val="25"/>
              <w:numPr>
                <w:ilvl w:val="0"/>
                <w:numId w:val="3"/>
              </w:numPr>
              <w:spacing w:line="360" w:lineRule="auto"/>
              <w:ind w:firstLineChars="0"/>
              <w:rPr>
                <w:rFonts w:ascii="宋体" w:hAnsi="宋体" w:cs="宋体"/>
                <w:sz w:val="24"/>
              </w:rPr>
            </w:pPr>
            <w:r>
              <w:rPr>
                <w:rFonts w:hint="eastAsia" w:ascii="宋体" w:hAnsi="宋体" w:cs="宋体"/>
                <w:sz w:val="24"/>
              </w:rPr>
              <w:t>系统自动提示已发出特检医嘱（免疫组化、特殊染色、分子病理等）要求但尚未执行的病例信息列表。</w:t>
            </w:r>
          </w:p>
          <w:p>
            <w:pPr>
              <w:pStyle w:val="25"/>
              <w:numPr>
                <w:ilvl w:val="0"/>
                <w:numId w:val="3"/>
              </w:numPr>
              <w:spacing w:line="360" w:lineRule="auto"/>
              <w:ind w:firstLineChars="0"/>
              <w:rPr>
                <w:rFonts w:ascii="宋体" w:hAnsi="宋体" w:cs="宋体"/>
                <w:sz w:val="24"/>
              </w:rPr>
            </w:pPr>
            <w:r>
              <w:rPr>
                <w:rFonts w:hint="eastAsia" w:ascii="宋体" w:hAnsi="宋体" w:cs="宋体"/>
                <w:sz w:val="24"/>
              </w:rPr>
              <w:t>同一病理号开出的特检医嘱，碰到不同蜡块号或不同开单时间时，系统自动变为黄色进行提示。</w:t>
            </w:r>
          </w:p>
          <w:p>
            <w:pPr>
              <w:pStyle w:val="25"/>
              <w:numPr>
                <w:ilvl w:val="0"/>
                <w:numId w:val="3"/>
              </w:numPr>
              <w:spacing w:line="360" w:lineRule="auto"/>
              <w:ind w:firstLineChars="0"/>
              <w:rPr>
                <w:rFonts w:ascii="宋体" w:hAnsi="宋体" w:cs="宋体"/>
                <w:sz w:val="24"/>
              </w:rPr>
            </w:pPr>
            <w:r>
              <w:rPr>
                <w:rFonts w:hint="eastAsia" w:ascii="宋体" w:hAnsi="宋体" w:cs="宋体"/>
                <w:sz w:val="24"/>
              </w:rPr>
              <w:t>可从特检医嘱信息中提取病例信息、标记物名称等内容，来自动生成免疫组化切片等切片条码标签，并打印出来。</w:t>
            </w:r>
          </w:p>
          <w:p>
            <w:pPr>
              <w:pStyle w:val="25"/>
              <w:numPr>
                <w:ilvl w:val="0"/>
                <w:numId w:val="3"/>
              </w:numPr>
              <w:spacing w:line="360" w:lineRule="auto"/>
              <w:ind w:firstLineChars="0"/>
              <w:rPr>
                <w:rFonts w:ascii="宋体" w:hAnsi="宋体" w:cs="宋体"/>
                <w:sz w:val="24"/>
              </w:rPr>
            </w:pPr>
            <w:r>
              <w:rPr>
                <w:rFonts w:hint="eastAsia" w:ascii="宋体" w:hAnsi="宋体" w:cs="宋体"/>
                <w:sz w:val="24"/>
              </w:rPr>
              <w:t>可按照标记物或病理号分类来打印染色工作表。</w:t>
            </w:r>
          </w:p>
          <w:p>
            <w:pPr>
              <w:pStyle w:val="25"/>
              <w:numPr>
                <w:ilvl w:val="0"/>
                <w:numId w:val="3"/>
              </w:numPr>
              <w:spacing w:line="360" w:lineRule="auto"/>
              <w:ind w:firstLineChars="0"/>
              <w:rPr>
                <w:rFonts w:ascii="宋体" w:hAnsi="宋体" w:cs="宋体"/>
                <w:sz w:val="24"/>
              </w:rPr>
            </w:pPr>
            <w:r>
              <w:rPr>
                <w:rFonts w:hint="eastAsia" w:ascii="宋体" w:hAnsi="宋体" w:cs="宋体"/>
                <w:sz w:val="24"/>
              </w:rPr>
              <w:t>有暂缓执行项目时，医嘱列表的“暂缓执行”按钮需变为红色进行提醒。</w:t>
            </w:r>
          </w:p>
          <w:p>
            <w:pPr>
              <w:spacing w:line="360" w:lineRule="auto"/>
              <w:rPr>
                <w:rFonts w:ascii="宋体" w:hAnsi="宋体" w:cs="宋体"/>
                <w:sz w:val="24"/>
              </w:rPr>
            </w:pPr>
            <w:r>
              <w:rPr>
                <w:rFonts w:hint="eastAsia" w:ascii="宋体" w:hAnsi="宋体" w:cs="宋体"/>
                <w:sz w:val="24"/>
              </w:rPr>
              <w:t>二、</w:t>
            </w:r>
            <w:r>
              <w:rPr>
                <w:rFonts w:hint="eastAsia" w:ascii="宋体" w:hAnsi="宋体" w:cs="宋体"/>
                <w:b/>
                <w:bCs/>
                <w:sz w:val="24"/>
              </w:rPr>
              <w:t>归档工作软件1套：</w:t>
            </w:r>
          </w:p>
          <w:p>
            <w:pPr>
              <w:spacing w:line="360" w:lineRule="auto"/>
              <w:rPr>
                <w:rFonts w:ascii="宋体" w:hAnsi="宋体" w:cs="宋体"/>
                <w:sz w:val="24"/>
              </w:rPr>
            </w:pPr>
            <w:r>
              <w:rPr>
                <w:rFonts w:hint="eastAsia" w:ascii="宋体" w:hAnsi="宋体" w:cs="宋体"/>
                <w:sz w:val="24"/>
              </w:rPr>
              <w:t>1、按照病理号区段，将资料（申请单或底单）、蜡块、玻片分别归档处理，录入具体的归档位置。</w:t>
            </w:r>
          </w:p>
          <w:p>
            <w:pPr>
              <w:spacing w:line="360" w:lineRule="auto"/>
              <w:rPr>
                <w:rFonts w:ascii="宋体" w:hAnsi="宋体" w:cs="宋体"/>
                <w:sz w:val="24"/>
              </w:rPr>
            </w:pPr>
            <w:r>
              <w:rPr>
                <w:rFonts w:hint="eastAsia" w:ascii="宋体" w:hAnsi="宋体" w:cs="宋体"/>
                <w:sz w:val="24"/>
              </w:rPr>
              <w:t>2、资料室借还片管理，及时了解和处理“借出”“归还”“作废”的切片情况。借片记录可以通过借阅人来查询，也可按照姓名模糊查询。</w:t>
            </w:r>
          </w:p>
          <w:p>
            <w:pPr>
              <w:spacing w:line="360" w:lineRule="auto"/>
              <w:rPr>
                <w:rFonts w:ascii="宋体" w:hAnsi="宋体" w:cs="宋体"/>
                <w:sz w:val="24"/>
              </w:rPr>
            </w:pPr>
            <w:r>
              <w:rPr>
                <w:rFonts w:hint="eastAsia" w:ascii="宋体" w:hAnsi="宋体" w:cs="宋体"/>
                <w:sz w:val="24"/>
              </w:rPr>
              <w:t>3、提供多病理号的整体查找和借出管理。</w:t>
            </w:r>
          </w:p>
          <w:p>
            <w:pPr>
              <w:spacing w:line="360" w:lineRule="auto"/>
              <w:rPr>
                <w:rFonts w:ascii="宋体" w:hAnsi="宋体" w:cs="宋体"/>
                <w:sz w:val="24"/>
              </w:rPr>
            </w:pPr>
            <w:r>
              <w:rPr>
                <w:rFonts w:hint="eastAsia" w:ascii="宋体" w:hAnsi="宋体" w:cs="宋体"/>
                <w:sz w:val="24"/>
              </w:rPr>
              <w:t>4、打印借片凭证。</w:t>
            </w:r>
          </w:p>
          <w:p>
            <w:pPr>
              <w:spacing w:line="360" w:lineRule="auto"/>
              <w:rPr>
                <w:rFonts w:ascii="宋体" w:hAnsi="宋体" w:cs="宋体"/>
                <w:sz w:val="24"/>
              </w:rPr>
            </w:pPr>
            <w:r>
              <w:rPr>
                <w:rFonts w:hint="eastAsia" w:ascii="宋体" w:hAnsi="宋体" w:cs="宋体"/>
                <w:sz w:val="24"/>
              </w:rPr>
              <w:t>5、还片时记录外院会诊意见，并返回给综合报告工作站供病理医生查看。</w:t>
            </w:r>
          </w:p>
          <w:p>
            <w:pPr>
              <w:spacing w:line="360" w:lineRule="auto"/>
              <w:rPr>
                <w:rFonts w:ascii="宋体" w:hAnsi="宋体" w:cs="宋体"/>
                <w:b/>
                <w:bCs/>
                <w:sz w:val="24"/>
              </w:rPr>
            </w:pPr>
            <w:r>
              <w:rPr>
                <w:rFonts w:hint="eastAsia" w:ascii="宋体" w:hAnsi="宋体" w:cs="宋体"/>
                <w:b/>
                <w:bCs/>
                <w:sz w:val="24"/>
              </w:rPr>
              <w:t>三、综合报告工作站软件</w:t>
            </w:r>
            <w:r>
              <w:rPr>
                <w:rFonts w:ascii="宋体" w:hAnsi="宋体" w:cs="宋体"/>
                <w:b/>
                <w:bCs/>
                <w:sz w:val="24"/>
              </w:rPr>
              <w:t>2</w:t>
            </w:r>
            <w:r>
              <w:rPr>
                <w:rFonts w:hint="eastAsia" w:ascii="宋体" w:hAnsi="宋体" w:cs="宋体"/>
                <w:b/>
                <w:bCs/>
                <w:sz w:val="24"/>
              </w:rPr>
              <w:t>套</w:t>
            </w:r>
          </w:p>
          <w:p>
            <w:pPr>
              <w:widowControl/>
              <w:spacing w:line="360" w:lineRule="auto"/>
              <w:jc w:val="left"/>
              <w:rPr>
                <w:rFonts w:ascii="宋体" w:hAnsi="宋体"/>
                <w:bCs/>
                <w:sz w:val="24"/>
              </w:rPr>
            </w:pPr>
            <w:r>
              <w:rPr>
                <w:rFonts w:hint="eastAsia" w:ascii="宋体" w:hAnsi="宋体"/>
                <w:bCs/>
                <w:sz w:val="24"/>
              </w:rPr>
              <w:t>1、根据登录用户身份，自动提示“我的未审核报告”“我的未打印报告”“我的未写报告”“我的延期报告”“我的申请复片”“我的待复片”“我的外借返回病例”“我的收藏夹”“科内会诊”“需随访病例”等列表。</w:t>
            </w:r>
          </w:p>
          <w:p>
            <w:pPr>
              <w:pStyle w:val="2"/>
              <w:spacing w:line="360" w:lineRule="auto"/>
              <w:ind w:firstLine="0" w:firstLineChars="0"/>
              <w:rPr>
                <w:bCs/>
                <w:sz w:val="24"/>
                <w:lang w:eastAsia="zh-CN"/>
              </w:rPr>
            </w:pPr>
            <w:r>
              <w:rPr>
                <w:rFonts w:hint="eastAsia"/>
                <w:bCs/>
                <w:sz w:val="24"/>
                <w:lang w:eastAsia="zh-CN"/>
              </w:rPr>
              <w:t>2、自动提示该病例的历史病理结果和同次送检的其他标本检查情况。除“同名检索”功能外，还能进一步进行住院号、病人编号或身份证号的匹配，以准确锁定该病人的检查记录。</w:t>
            </w:r>
          </w:p>
          <w:p>
            <w:pPr>
              <w:pStyle w:val="2"/>
              <w:spacing w:line="360" w:lineRule="auto"/>
              <w:ind w:firstLine="0" w:firstLineChars="0"/>
              <w:rPr>
                <w:bCs/>
                <w:color w:val="000000"/>
                <w:sz w:val="24"/>
                <w:lang w:eastAsia="zh-CN"/>
              </w:rPr>
            </w:pPr>
            <w:r>
              <w:rPr>
                <w:rFonts w:hint="eastAsia"/>
                <w:sz w:val="24"/>
                <w:lang w:eastAsia="zh-CN"/>
              </w:rPr>
              <w:t>3、</w:t>
            </w:r>
            <w:r>
              <w:rPr>
                <w:rFonts w:hint="eastAsia"/>
                <w:bCs/>
                <w:color w:val="000000"/>
                <w:sz w:val="24"/>
                <w:lang w:eastAsia="zh-CN"/>
              </w:rPr>
              <w:t>冰冻超时报告可提示医生进行“迟发原因”的输入，可自定义迟发原因并进行下拉框选择。</w:t>
            </w:r>
          </w:p>
          <w:p>
            <w:pPr>
              <w:pStyle w:val="2"/>
              <w:spacing w:line="360" w:lineRule="auto"/>
              <w:ind w:firstLine="0" w:firstLineChars="0"/>
              <w:rPr>
                <w:bCs/>
                <w:color w:val="000000"/>
                <w:sz w:val="24"/>
                <w:lang w:eastAsia="zh-CN"/>
              </w:rPr>
            </w:pPr>
            <w:r>
              <w:rPr>
                <w:rFonts w:hint="eastAsia"/>
                <w:bCs/>
                <w:color w:val="000000"/>
                <w:sz w:val="24"/>
                <w:lang w:eastAsia="zh-CN"/>
              </w:rPr>
              <w:t>4、可按时间段统计术中冰冻的送检例数、送检次数及取材块数。</w:t>
            </w:r>
          </w:p>
          <w:p>
            <w:pPr>
              <w:pStyle w:val="2"/>
              <w:spacing w:line="360" w:lineRule="auto"/>
              <w:ind w:firstLine="0" w:firstLineChars="0"/>
              <w:rPr>
                <w:bCs/>
                <w:color w:val="000000"/>
                <w:sz w:val="24"/>
                <w:lang w:eastAsia="zh-CN"/>
              </w:rPr>
            </w:pPr>
            <w:r>
              <w:rPr>
                <w:rFonts w:hint="eastAsia"/>
                <w:sz w:val="24"/>
                <w:lang w:eastAsia="zh-CN"/>
              </w:rPr>
              <w:t>5、</w:t>
            </w:r>
            <w:r>
              <w:rPr>
                <w:rFonts w:hint="eastAsia"/>
                <w:bCs/>
                <w:color w:val="000000"/>
                <w:sz w:val="24"/>
                <w:lang w:eastAsia="zh-CN"/>
              </w:rPr>
              <w:t>可进行冰冻报告发放时间的统计，并显示冰冻超时报告的迟发原因。</w:t>
            </w:r>
          </w:p>
          <w:p>
            <w:pPr>
              <w:pStyle w:val="2"/>
              <w:spacing w:line="360" w:lineRule="auto"/>
              <w:ind w:firstLine="0" w:firstLineChars="0"/>
              <w:rPr>
                <w:color w:val="000000"/>
                <w:sz w:val="24"/>
                <w:lang w:eastAsia="zh-CN"/>
              </w:rPr>
            </w:pPr>
            <w:r>
              <w:rPr>
                <w:rFonts w:hint="eastAsia"/>
                <w:sz w:val="24"/>
                <w:lang w:eastAsia="zh-CN"/>
              </w:rPr>
              <w:t>6、</w:t>
            </w:r>
            <w:r>
              <w:rPr>
                <w:color w:val="000000"/>
                <w:sz w:val="24"/>
                <w:lang w:eastAsia="zh-CN"/>
              </w:rPr>
              <w:t>可进行术中快速病理诊断及时率的统计（包括多台同时送检且时间在45分钟之内的情况的特殊处理）</w:t>
            </w:r>
          </w:p>
          <w:p>
            <w:pPr>
              <w:pStyle w:val="2"/>
              <w:spacing w:line="360" w:lineRule="auto"/>
              <w:ind w:firstLine="0" w:firstLineChars="0"/>
              <w:rPr>
                <w:color w:val="000000"/>
                <w:sz w:val="24"/>
                <w:lang w:eastAsia="zh-CN"/>
              </w:rPr>
            </w:pPr>
            <w:r>
              <w:rPr>
                <w:rFonts w:hint="eastAsia"/>
                <w:sz w:val="24"/>
                <w:lang w:eastAsia="zh-CN"/>
              </w:rPr>
              <w:t>7、</w:t>
            </w:r>
            <w:r>
              <w:rPr>
                <w:rFonts w:hint="eastAsia"/>
                <w:color w:val="000000"/>
                <w:sz w:val="24"/>
                <w:lang w:eastAsia="zh-CN"/>
              </w:rPr>
              <w:t>针对七类小标本和二十类大标本肿瘤疾病，提供国际先进的“结构化报告”标准报告模版。</w:t>
            </w:r>
          </w:p>
          <w:p>
            <w:pPr>
              <w:pStyle w:val="2"/>
              <w:spacing w:line="360" w:lineRule="auto"/>
              <w:ind w:firstLine="0" w:firstLineChars="0"/>
              <w:rPr>
                <w:color w:val="000000"/>
                <w:kern w:val="0"/>
                <w:sz w:val="24"/>
                <w:lang w:eastAsia="zh-CN"/>
              </w:rPr>
            </w:pPr>
            <w:r>
              <w:rPr>
                <w:rFonts w:hint="eastAsia"/>
                <w:sz w:val="24"/>
                <w:lang w:eastAsia="zh-CN"/>
              </w:rPr>
              <w:t>8、</w:t>
            </w:r>
            <w:r>
              <w:rPr>
                <w:rFonts w:hint="eastAsia"/>
                <w:color w:val="000000"/>
                <w:kern w:val="0"/>
                <w:sz w:val="24"/>
                <w:lang w:eastAsia="zh-CN"/>
              </w:rPr>
              <w:t>报告打印时能设置病例库对“阴阳性”“临床符合”“冰冻符合”进行检查，如果无内容不能打印。</w:t>
            </w:r>
          </w:p>
          <w:p>
            <w:pPr>
              <w:pStyle w:val="2"/>
              <w:spacing w:line="360" w:lineRule="auto"/>
              <w:ind w:firstLine="0" w:firstLineChars="0"/>
              <w:rPr>
                <w:bCs/>
                <w:color w:val="000000"/>
                <w:sz w:val="24"/>
                <w:lang w:eastAsia="zh-CN"/>
              </w:rPr>
            </w:pPr>
            <w:r>
              <w:rPr>
                <w:rFonts w:hint="eastAsia"/>
                <w:sz w:val="24"/>
                <w:lang w:eastAsia="zh-CN"/>
              </w:rPr>
              <w:t>9、</w:t>
            </w:r>
            <w:r>
              <w:rPr>
                <w:rFonts w:hint="eastAsia"/>
                <w:bCs/>
                <w:color w:val="000000"/>
                <w:sz w:val="24"/>
                <w:lang w:eastAsia="zh-CN"/>
              </w:rPr>
              <w:t>病理诊断结果与性别冲突监控提示功能：如男性病例出现“宫颈、卵巢等”描述、女性病例出现“阴茎、睾丸等”描述时，系统自动进行弹框提醒。</w:t>
            </w:r>
          </w:p>
          <w:p>
            <w:pPr>
              <w:pStyle w:val="2"/>
              <w:spacing w:line="360" w:lineRule="auto"/>
              <w:ind w:firstLine="0" w:firstLineChars="0"/>
              <w:rPr>
                <w:bCs/>
                <w:color w:val="000000"/>
                <w:sz w:val="24"/>
                <w:lang w:eastAsia="zh-CN"/>
              </w:rPr>
            </w:pPr>
            <w:r>
              <w:rPr>
                <w:rFonts w:hint="eastAsia"/>
                <w:sz w:val="24"/>
                <w:lang w:eastAsia="zh-CN"/>
              </w:rPr>
              <w:t>10、</w:t>
            </w:r>
            <w:r>
              <w:rPr>
                <w:rFonts w:hint="eastAsia"/>
                <w:color w:val="000000"/>
                <w:sz w:val="24"/>
                <w:lang w:eastAsia="zh-CN"/>
              </w:rPr>
              <w:t>镜下所见及</w:t>
            </w:r>
            <w:r>
              <w:rPr>
                <w:rFonts w:hint="eastAsia"/>
                <w:bCs/>
                <w:color w:val="000000"/>
                <w:sz w:val="24"/>
                <w:lang w:eastAsia="zh-CN"/>
              </w:rPr>
              <w:t>病理诊断结果与标本名称左右部位冲突监控提示功能：如标本名称为“左乳腺”，病理诊断中出现“右”，系统将自行弹框提醒。</w:t>
            </w:r>
          </w:p>
          <w:p>
            <w:pPr>
              <w:pStyle w:val="2"/>
              <w:spacing w:line="360" w:lineRule="auto"/>
              <w:ind w:firstLine="0" w:firstLineChars="0"/>
              <w:rPr>
                <w:bCs/>
                <w:color w:val="000000"/>
                <w:sz w:val="24"/>
                <w:lang w:eastAsia="zh-CN"/>
              </w:rPr>
            </w:pPr>
            <w:r>
              <w:rPr>
                <w:rFonts w:hint="eastAsia"/>
                <w:sz w:val="24"/>
                <w:lang w:eastAsia="zh-CN"/>
              </w:rPr>
              <w:t>11、</w:t>
            </w:r>
            <w:r>
              <w:rPr>
                <w:rFonts w:hint="eastAsia"/>
                <w:bCs/>
                <w:color w:val="000000"/>
                <w:sz w:val="24"/>
                <w:lang w:eastAsia="zh-CN"/>
              </w:rPr>
              <w:t>病理诊断结果智能匹配提示功能：用户可自定义特殊词汇和相应提示内容，在病理诊断中出现这些词汇时，系统自动进行弹框提示。</w:t>
            </w:r>
          </w:p>
          <w:p>
            <w:pPr>
              <w:pStyle w:val="2"/>
              <w:spacing w:line="360" w:lineRule="auto"/>
              <w:ind w:firstLine="0" w:firstLineChars="0"/>
              <w:rPr>
                <w:bCs/>
                <w:color w:val="000000"/>
                <w:sz w:val="24"/>
                <w:lang w:eastAsia="zh-CN"/>
              </w:rPr>
            </w:pPr>
            <w:r>
              <w:rPr>
                <w:rFonts w:hint="eastAsia"/>
                <w:sz w:val="24"/>
                <w:lang w:eastAsia="zh-CN"/>
              </w:rPr>
              <w:t>12、</w:t>
            </w:r>
            <w:r>
              <w:rPr>
                <w:rFonts w:hint="eastAsia"/>
                <w:bCs/>
                <w:color w:val="000000"/>
                <w:sz w:val="24"/>
                <w:lang w:eastAsia="zh-CN"/>
              </w:rPr>
              <w:t>在查看取材明细时，碰到任务来源是“冰冻”时，系统自动变为红色进行提示。</w:t>
            </w:r>
          </w:p>
          <w:p>
            <w:pPr>
              <w:pStyle w:val="2"/>
              <w:spacing w:line="360" w:lineRule="auto"/>
              <w:ind w:firstLine="0" w:firstLineChars="0"/>
              <w:rPr>
                <w:color w:val="000000"/>
                <w:sz w:val="24"/>
                <w:lang w:eastAsia="zh-CN"/>
              </w:rPr>
            </w:pPr>
            <w:r>
              <w:rPr>
                <w:rFonts w:hint="eastAsia"/>
                <w:sz w:val="24"/>
                <w:lang w:eastAsia="zh-CN"/>
              </w:rPr>
              <w:t>13、</w:t>
            </w:r>
            <w:r>
              <w:rPr>
                <w:rFonts w:hint="eastAsia"/>
                <w:bCs/>
                <w:color w:val="000000"/>
                <w:sz w:val="24"/>
                <w:lang w:eastAsia="zh-CN"/>
              </w:rPr>
              <w:t>医生开免疫组化医嘱时，系统会自动匹配本科室已开展的标记物项目，</w:t>
            </w:r>
            <w:r>
              <w:rPr>
                <w:rFonts w:hint="eastAsia"/>
                <w:color w:val="000000"/>
                <w:sz w:val="24"/>
                <w:lang w:eastAsia="zh-CN"/>
              </w:rPr>
              <w:t>如果无此标记物项目，则系统弹出相关提示并阻止开单。</w:t>
            </w:r>
          </w:p>
          <w:p>
            <w:pPr>
              <w:pStyle w:val="2"/>
              <w:spacing w:line="360" w:lineRule="auto"/>
              <w:ind w:firstLine="0" w:firstLineChars="0"/>
              <w:rPr>
                <w:bCs/>
                <w:color w:val="000000"/>
                <w:sz w:val="24"/>
                <w:lang w:eastAsia="zh-CN"/>
              </w:rPr>
            </w:pPr>
            <w:r>
              <w:rPr>
                <w:rFonts w:hint="eastAsia"/>
                <w:sz w:val="24"/>
                <w:lang w:eastAsia="zh-CN"/>
              </w:rPr>
              <w:t>14、</w:t>
            </w:r>
            <w:r>
              <w:rPr>
                <w:rFonts w:hint="eastAsia"/>
                <w:bCs/>
                <w:color w:val="000000"/>
                <w:sz w:val="24"/>
                <w:lang w:eastAsia="zh-CN"/>
              </w:rPr>
              <w:t>提供报告应发时间管理，用户可自定义不同标本类型对应的报告应发时间，并能自定义接收标本时间分隔点。系统采用特殊颜色来标记“最后一天”“报告超期”“报告延期”等报告发放时间状态。</w:t>
            </w:r>
          </w:p>
          <w:p>
            <w:pPr>
              <w:pStyle w:val="2"/>
              <w:spacing w:line="360" w:lineRule="auto"/>
              <w:ind w:firstLine="0" w:firstLineChars="0"/>
              <w:rPr>
                <w:bCs/>
                <w:color w:val="000000"/>
                <w:sz w:val="24"/>
                <w:lang w:eastAsia="zh-CN"/>
              </w:rPr>
            </w:pPr>
            <w:r>
              <w:rPr>
                <w:rFonts w:hint="eastAsia"/>
                <w:sz w:val="24"/>
                <w:lang w:eastAsia="zh-CN"/>
              </w:rPr>
              <w:t>15、</w:t>
            </w:r>
            <w:r>
              <w:rPr>
                <w:rFonts w:hint="eastAsia"/>
                <w:bCs/>
                <w:color w:val="000000"/>
                <w:sz w:val="24"/>
                <w:lang w:eastAsia="zh-CN"/>
              </w:rPr>
              <w:t>开免疫组化等内部医嘱时可指定系统进行报告发放时间到期提醒，同时可打印“缓发报告通知单”。</w:t>
            </w:r>
          </w:p>
          <w:p>
            <w:pPr>
              <w:pStyle w:val="2"/>
              <w:spacing w:line="360" w:lineRule="auto"/>
              <w:ind w:firstLine="0" w:firstLineChars="0"/>
              <w:rPr>
                <w:color w:val="000000"/>
                <w:sz w:val="24"/>
                <w:lang w:eastAsia="zh-CN"/>
              </w:rPr>
            </w:pPr>
            <w:r>
              <w:rPr>
                <w:rFonts w:hint="eastAsia"/>
                <w:sz w:val="24"/>
                <w:lang w:eastAsia="zh-CN"/>
              </w:rPr>
              <w:t>16、</w:t>
            </w:r>
            <w:r>
              <w:rPr>
                <w:rFonts w:hint="eastAsia"/>
                <w:color w:val="000000"/>
                <w:sz w:val="24"/>
                <w:lang w:eastAsia="zh-CN"/>
              </w:rPr>
              <w:t>提供多种报告时间统计报表，包括冰冻报告发放时间统计、报告发放及时率的统计、未发报告统计、超期报告统计、报告实际发放天数统计、报告实际发放天数汇总。</w:t>
            </w:r>
          </w:p>
          <w:p>
            <w:pPr>
              <w:pStyle w:val="2"/>
              <w:spacing w:line="360" w:lineRule="auto"/>
              <w:ind w:firstLine="0" w:firstLineChars="0"/>
              <w:rPr>
                <w:color w:val="000000"/>
                <w:sz w:val="24"/>
                <w:lang w:eastAsia="zh-CN"/>
              </w:rPr>
            </w:pPr>
            <w:r>
              <w:rPr>
                <w:rFonts w:hint="eastAsia"/>
                <w:sz w:val="24"/>
                <w:lang w:eastAsia="zh-CN"/>
              </w:rPr>
              <w:t>17、</w:t>
            </w:r>
            <w:r>
              <w:rPr>
                <w:rFonts w:hint="eastAsia"/>
                <w:color w:val="000000"/>
                <w:sz w:val="24"/>
                <w:lang w:eastAsia="zh-CN"/>
              </w:rPr>
              <w:t>提供报告格式自动扩页功能，以适应内容较多的病理报告或尸检病理报告。</w:t>
            </w:r>
          </w:p>
          <w:p>
            <w:pPr>
              <w:pStyle w:val="2"/>
              <w:spacing w:line="360" w:lineRule="auto"/>
              <w:ind w:firstLine="0" w:firstLineChars="0"/>
              <w:rPr>
                <w:lang w:eastAsia="zh-CN"/>
              </w:rPr>
            </w:pPr>
            <w:r>
              <w:rPr>
                <w:rFonts w:hint="eastAsia"/>
                <w:sz w:val="24"/>
                <w:lang w:eastAsia="zh-CN"/>
              </w:rPr>
              <w:t>18、</w:t>
            </w:r>
            <w:r>
              <w:rPr>
                <w:rFonts w:hint="eastAsia"/>
                <w:bCs/>
                <w:color w:val="000000"/>
                <w:sz w:val="24"/>
                <w:lang w:eastAsia="zh-CN"/>
              </w:rPr>
              <w:t>提供每日病理报告签收单管理，通过扫描病理报告单上的条码，自动按照“病区”或“送检科室”排序整理报告签收单进行打印，用于临床接收病理报告后签字返回病理科进行存档。</w:t>
            </w:r>
          </w:p>
        </w:tc>
        <w:tc>
          <w:tcPr>
            <w:tcW w:w="1097" w:type="dxa"/>
            <w:shd w:val="clear" w:color="auto" w:fill="auto"/>
            <w:noWrap/>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4套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51" w:type="dxa"/>
            <w:shd w:val="clear" w:color="auto" w:fill="auto"/>
            <w:noWrap/>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4</w:t>
            </w:r>
          </w:p>
        </w:tc>
        <w:tc>
          <w:tcPr>
            <w:tcW w:w="970" w:type="dxa"/>
            <w:shd w:val="clear" w:color="auto" w:fill="auto"/>
            <w:noWrap/>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数字化产科管理软件</w:t>
            </w:r>
          </w:p>
        </w:tc>
        <w:tc>
          <w:tcPr>
            <w:tcW w:w="6863" w:type="dxa"/>
            <w:shd w:val="clear" w:color="auto" w:fill="auto"/>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根据《2021-2030年中国妇女儿童发展纲要》及《母婴安全行动提升计划（2021-2025年）》落实两纲妇女儿童健康目健全妇幼健康服务体系，保障母婴安全防治出生缺陷，努力使妇女儿童平等享有全周期、全过程、全方位健康服务，加强孕产妇保健信息资源的集中收集、开发和利用，健全我院妇幼人群“标准化健康档案”，实现医生和孕产妇的互联互通和信息共享，提高医疗服务和管理决策的质量和效率的目标。</w:t>
            </w:r>
            <w:r>
              <w:rPr>
                <w:rFonts w:hint="eastAsia" w:ascii="宋体" w:hAnsi="宋体" w:cs="宋体"/>
                <w:color w:val="000000"/>
                <w:kern w:val="0"/>
                <w:sz w:val="24"/>
              </w:rPr>
              <w:br w:type="textWrapping"/>
            </w:r>
            <w:r>
              <w:rPr>
                <w:rFonts w:hint="eastAsia" w:ascii="宋体" w:hAnsi="宋体" w:cs="宋体"/>
                <w:color w:val="000000"/>
                <w:kern w:val="0"/>
                <w:sz w:val="24"/>
              </w:rPr>
              <w:t>该系统需满足产科门诊管理、门诊统计报表、高危孕产妇管理、临床报告及产检信息智能提醒、产房专科病历文书、住院分娩统计上报、产科移动端应用、与我院HIS、LIS系统集成数据互通等功能，达到优化业务流程、提升精细化管理能力、增强临床科研水平、改善医患关系、提升医院口碑及效益的目标。</w:t>
            </w:r>
          </w:p>
        </w:tc>
        <w:tc>
          <w:tcPr>
            <w:tcW w:w="1097" w:type="dxa"/>
            <w:shd w:val="clear" w:color="auto" w:fill="auto"/>
            <w:noWrap/>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51" w:type="dxa"/>
            <w:shd w:val="clear" w:color="auto" w:fill="auto"/>
            <w:noWrap/>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5</w:t>
            </w:r>
          </w:p>
        </w:tc>
        <w:tc>
          <w:tcPr>
            <w:tcW w:w="970" w:type="dxa"/>
            <w:shd w:val="clear" w:color="auto" w:fill="auto"/>
            <w:noWrap/>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护理助手</w:t>
            </w:r>
          </w:p>
        </w:tc>
        <w:tc>
          <w:tcPr>
            <w:tcW w:w="6863" w:type="dxa"/>
            <w:shd w:val="clear" w:color="auto" w:fill="auto"/>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1、全院护士人员管理服务。</w:t>
            </w:r>
            <w:r>
              <w:rPr>
                <w:rFonts w:hint="eastAsia" w:ascii="宋体" w:hAnsi="宋体" w:cs="宋体"/>
                <w:color w:val="000000"/>
                <w:kern w:val="0"/>
                <w:sz w:val="24"/>
              </w:rPr>
              <w:br w:type="textWrapping"/>
            </w:r>
            <w:r>
              <w:rPr>
                <w:rFonts w:hint="eastAsia" w:ascii="宋体" w:hAnsi="宋体" w:cs="宋体"/>
                <w:color w:val="000000"/>
                <w:kern w:val="0"/>
                <w:sz w:val="24"/>
              </w:rPr>
              <w:t>可以根据护理人员属性实时筛选结果，实时展示最新护理人员档案，不需要护理部人工维护。</w:t>
            </w:r>
          </w:p>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2、提供护理相关的专业题库和视频库以及相关的教培方案和内容。</w:t>
            </w:r>
            <w:r>
              <w:rPr>
                <w:rFonts w:hint="eastAsia" w:ascii="宋体" w:hAnsi="宋体" w:cs="宋体"/>
                <w:color w:val="000000"/>
                <w:kern w:val="0"/>
                <w:sz w:val="24"/>
              </w:rPr>
              <w:br w:type="textWrapping"/>
            </w:r>
            <w:r>
              <w:rPr>
                <w:rFonts w:hint="eastAsia" w:ascii="宋体" w:hAnsi="宋体" w:cs="宋体"/>
                <w:color w:val="000000"/>
                <w:kern w:val="0"/>
                <w:sz w:val="24"/>
              </w:rPr>
              <w:t>3、辅助护理部对全院教学形成量化的目标管理</w:t>
            </w:r>
            <w:r>
              <w:rPr>
                <w:rFonts w:hint="eastAsia" w:ascii="宋体" w:hAnsi="宋体" w:cs="宋体"/>
                <w:color w:val="000000"/>
                <w:kern w:val="0"/>
                <w:sz w:val="24"/>
              </w:rPr>
              <w:br w:type="textWrapping"/>
            </w:r>
            <w:r>
              <w:rPr>
                <w:rFonts w:hint="eastAsia" w:ascii="宋体" w:hAnsi="宋体" w:cs="宋体"/>
                <w:color w:val="000000"/>
                <w:kern w:val="0"/>
                <w:sz w:val="24"/>
              </w:rPr>
              <w:t>4、辅助护理部实现护理教培“线上+线下”全场景覆盖</w:t>
            </w:r>
            <w:r>
              <w:rPr>
                <w:rFonts w:hint="eastAsia" w:ascii="宋体" w:hAnsi="宋体" w:cs="宋体"/>
                <w:color w:val="000000"/>
                <w:kern w:val="0"/>
                <w:sz w:val="24"/>
              </w:rPr>
              <w:br w:type="textWrapping"/>
            </w:r>
            <w:r>
              <w:rPr>
                <w:rFonts w:hint="eastAsia" w:ascii="宋体" w:hAnsi="宋体" w:cs="宋体"/>
                <w:color w:val="000000"/>
                <w:kern w:val="0"/>
                <w:sz w:val="24"/>
              </w:rPr>
              <w:t>5、自动生成月度、季度、年度的院级层面教学简报、科室层面教学简报</w:t>
            </w:r>
          </w:p>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6、质控管理</w:t>
            </w:r>
          </w:p>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7、提供最新的护理相关的护理教学方案，节约纸张物料、节约人力、提升组织和学习效率。</w:t>
            </w:r>
          </w:p>
        </w:tc>
        <w:tc>
          <w:tcPr>
            <w:tcW w:w="1097" w:type="dxa"/>
            <w:shd w:val="clear" w:color="auto" w:fill="auto"/>
            <w:noWrap/>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851" w:type="dxa"/>
            <w:shd w:val="clear" w:color="auto" w:fill="auto"/>
            <w:noWrap/>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6</w:t>
            </w:r>
          </w:p>
        </w:tc>
        <w:tc>
          <w:tcPr>
            <w:tcW w:w="970" w:type="dxa"/>
            <w:shd w:val="clear" w:color="auto" w:fill="auto"/>
            <w:noWrap/>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消毒供应追溯系统</w:t>
            </w:r>
          </w:p>
        </w:tc>
        <w:tc>
          <w:tcPr>
            <w:tcW w:w="6863" w:type="dxa"/>
            <w:shd w:val="clear" w:color="auto" w:fill="auto"/>
          </w:tcPr>
          <w:p>
            <w:pPr>
              <w:widowControl/>
              <w:spacing w:after="240" w:line="360" w:lineRule="auto"/>
              <w:jc w:val="left"/>
              <w:rPr>
                <w:rFonts w:ascii="宋体" w:hAnsi="宋体" w:cs="宋体"/>
                <w:color w:val="000000"/>
                <w:kern w:val="0"/>
                <w:sz w:val="24"/>
              </w:rPr>
            </w:pPr>
            <w:r>
              <w:rPr>
                <w:rFonts w:hint="eastAsia" w:ascii="宋体" w:hAnsi="宋体" w:cs="宋体"/>
                <w:color w:val="000000"/>
                <w:kern w:val="0"/>
                <w:sz w:val="24"/>
              </w:rPr>
              <w:t>实现区域化消毒中心无菌物品处理流程的信息化，明确消毒供应中心工作人员的岗位职责，行程完善、科学的管理制度。</w:t>
            </w:r>
          </w:p>
          <w:p>
            <w:pPr>
              <w:widowControl/>
              <w:spacing w:after="240" w:line="360" w:lineRule="auto"/>
              <w:jc w:val="left"/>
              <w:rPr>
                <w:rFonts w:ascii="宋体" w:hAnsi="宋体" w:cs="宋体"/>
                <w:color w:val="000000"/>
                <w:kern w:val="0"/>
                <w:sz w:val="24"/>
              </w:rPr>
            </w:pPr>
            <w:r>
              <w:rPr>
                <w:rFonts w:hint="eastAsia" w:ascii="宋体" w:hAnsi="宋体" w:cs="宋体"/>
                <w:color w:val="000000"/>
                <w:kern w:val="0"/>
                <w:sz w:val="24"/>
              </w:rPr>
              <w:t>实现对各类无菌包及医院消毒供应中心要求的其他非追溯物品在回收、清洗、清洗检测、包装、核包、灭菌、无菌存储、发放、使用等全生命周期闭环流程的全面质量追溯。</w:t>
            </w:r>
          </w:p>
        </w:tc>
        <w:tc>
          <w:tcPr>
            <w:tcW w:w="1097" w:type="dxa"/>
            <w:shd w:val="clear" w:color="auto" w:fill="auto"/>
            <w:noWrap/>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shd w:val="clear" w:color="auto" w:fill="auto"/>
            <w:noWrap/>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7</w:t>
            </w:r>
          </w:p>
        </w:tc>
        <w:tc>
          <w:tcPr>
            <w:tcW w:w="970" w:type="dxa"/>
            <w:shd w:val="clear" w:color="auto" w:fill="auto"/>
            <w:noWrap/>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三级公里医院绩效考核服务系统</w:t>
            </w:r>
          </w:p>
        </w:tc>
        <w:tc>
          <w:tcPr>
            <w:tcW w:w="6863" w:type="dxa"/>
            <w:shd w:val="clear" w:color="auto" w:fill="auto"/>
            <w:noWrap/>
          </w:tcPr>
          <w:p>
            <w:pPr>
              <w:pStyle w:val="3"/>
              <w:spacing w:after="0" w:line="360" w:lineRule="auto"/>
              <w:jc w:val="left"/>
              <w:rPr>
                <w:rFonts w:ascii="宋体" w:hAnsi="宋体" w:cs="宋体"/>
                <w:sz w:val="24"/>
              </w:rPr>
            </w:pPr>
            <w:r>
              <w:rPr>
                <w:rFonts w:hint="eastAsia" w:ascii="宋体" w:hAnsi="宋体" w:cs="宋体"/>
                <w:sz w:val="24"/>
              </w:rPr>
              <w:t>为深入贯彻落实《国务院办公厅关于加强三级公立医院绩效考核工作的意见》（国办发〔2019〕4号），持续提高三级公立医院绩效考核工作精细化水平。</w:t>
            </w:r>
          </w:p>
          <w:p>
            <w:pPr>
              <w:pStyle w:val="3"/>
              <w:spacing w:after="0" w:line="360" w:lineRule="auto"/>
              <w:jc w:val="left"/>
              <w:rPr>
                <w:rFonts w:ascii="宋体" w:hAnsi="宋体" w:cs="宋体"/>
                <w:sz w:val="24"/>
              </w:rPr>
            </w:pPr>
            <w:r>
              <w:rPr>
                <w:rFonts w:hint="eastAsia" w:ascii="宋体" w:hAnsi="宋体" w:cs="宋体"/>
                <w:sz w:val="24"/>
              </w:rPr>
              <w:t>主要功能要求包括：</w:t>
            </w:r>
          </w:p>
          <w:p>
            <w:pPr>
              <w:numPr>
                <w:ilvl w:val="0"/>
                <w:numId w:val="4"/>
              </w:numPr>
              <w:spacing w:line="360" w:lineRule="auto"/>
              <w:rPr>
                <w:rFonts w:ascii="宋体" w:hAnsi="宋体" w:cs="宋体"/>
                <w:sz w:val="24"/>
              </w:rPr>
            </w:pPr>
            <w:r>
              <w:rPr>
                <w:rFonts w:hint="eastAsia" w:ascii="宋体" w:hAnsi="宋体" w:cs="宋体"/>
                <w:sz w:val="24"/>
              </w:rPr>
              <w:t>绩效工作要求：</w:t>
            </w:r>
          </w:p>
          <w:p>
            <w:pPr>
              <w:pStyle w:val="2"/>
              <w:spacing w:line="360" w:lineRule="auto"/>
              <w:ind w:firstLine="0" w:firstLineChars="0"/>
              <w:rPr>
                <w:sz w:val="24"/>
                <w:lang w:eastAsia="zh-CN"/>
              </w:rPr>
            </w:pPr>
            <w:r>
              <w:rPr>
                <w:rFonts w:hint="eastAsia"/>
                <w:sz w:val="24"/>
                <w:lang w:eastAsia="zh-CN"/>
              </w:rPr>
              <w:t>1、工作组织：配置各个指标的管理科室和填报科室，管理指标分类以及导入往年的考核结果。</w:t>
            </w:r>
          </w:p>
          <w:p>
            <w:pPr>
              <w:pStyle w:val="2"/>
              <w:spacing w:line="360" w:lineRule="auto"/>
              <w:ind w:firstLine="0" w:firstLineChars="0"/>
              <w:rPr>
                <w:sz w:val="24"/>
                <w:lang w:eastAsia="zh-CN"/>
              </w:rPr>
            </w:pPr>
            <w:r>
              <w:rPr>
                <w:rFonts w:hint="eastAsia"/>
                <w:sz w:val="24"/>
                <w:lang w:eastAsia="zh-CN"/>
              </w:rPr>
              <w:t>2、模拟评级：针对可采集计算的国家绩效考核指标进行模拟评级，给出每个指标值位于段位1-4中的哪个段位。</w:t>
            </w:r>
          </w:p>
          <w:p>
            <w:pPr>
              <w:pStyle w:val="2"/>
              <w:spacing w:line="360" w:lineRule="auto"/>
              <w:ind w:firstLine="0" w:firstLineChars="0"/>
              <w:rPr>
                <w:sz w:val="24"/>
                <w:lang w:eastAsia="zh-CN"/>
              </w:rPr>
            </w:pPr>
            <w:r>
              <w:rPr>
                <w:rFonts w:hint="eastAsia"/>
                <w:sz w:val="24"/>
                <w:lang w:eastAsia="zh-CN"/>
              </w:rPr>
              <w:t>3、模拟评分：按照国家要求，对采购人绩效考核指标进行模拟评分，并对采购人的绩效考核分组、监测指标等级、模拟考核排名、每一项指标的完成程度进行展示。</w:t>
            </w:r>
          </w:p>
          <w:p>
            <w:pPr>
              <w:pStyle w:val="2"/>
              <w:spacing w:line="360" w:lineRule="auto"/>
              <w:ind w:firstLine="0" w:firstLineChars="0"/>
              <w:rPr>
                <w:sz w:val="24"/>
                <w:lang w:eastAsia="zh-CN"/>
              </w:rPr>
            </w:pPr>
            <w:r>
              <w:rPr>
                <w:rFonts w:hint="eastAsia"/>
                <w:sz w:val="24"/>
                <w:lang w:eastAsia="zh-CN"/>
              </w:rPr>
              <w:t>4、指标监测：提供目标绩效指标看板，包括绩效指标名、目标值、当前值、变化趋势，与目标的差距和预计可能产生的差距等。</w:t>
            </w:r>
          </w:p>
          <w:p>
            <w:pPr>
              <w:pStyle w:val="2"/>
              <w:spacing w:line="360" w:lineRule="auto"/>
              <w:ind w:firstLine="0" w:firstLineChars="0"/>
              <w:rPr>
                <w:sz w:val="24"/>
                <w:lang w:eastAsia="zh-CN"/>
              </w:rPr>
            </w:pPr>
            <w:r>
              <w:rPr>
                <w:rFonts w:hint="eastAsia"/>
                <w:sz w:val="24"/>
                <w:lang w:eastAsia="zh-CN"/>
              </w:rPr>
              <w:t>5、指标分析：对国家考核的指标按照年、季度、月维度进行分析，可设置详细关注的指标，进行重点关注分析。支持分析指标环比、同比等维度的对比分析，各个年度的趋势分析。</w:t>
            </w:r>
          </w:p>
          <w:p>
            <w:pPr>
              <w:pStyle w:val="2"/>
              <w:spacing w:line="360" w:lineRule="auto"/>
              <w:ind w:firstLine="0" w:firstLineChars="0"/>
              <w:rPr>
                <w:sz w:val="24"/>
                <w:lang w:eastAsia="zh-CN"/>
              </w:rPr>
            </w:pPr>
            <w:r>
              <w:rPr>
                <w:rFonts w:hint="eastAsia"/>
                <w:sz w:val="24"/>
                <w:lang w:eastAsia="zh-CN"/>
              </w:rPr>
              <w:t>6、DRG基础分析：对采购人的DRG情况按照年、季度、月份维度进行基本情况的分析。</w:t>
            </w:r>
          </w:p>
          <w:p>
            <w:pPr>
              <w:pStyle w:val="2"/>
              <w:spacing w:line="360" w:lineRule="auto"/>
              <w:ind w:firstLine="0" w:firstLineChars="0"/>
              <w:rPr>
                <w:sz w:val="24"/>
                <w:lang w:eastAsia="zh-CN"/>
              </w:rPr>
            </w:pPr>
            <w:r>
              <w:rPr>
                <w:rFonts w:hint="eastAsia"/>
                <w:sz w:val="24"/>
                <w:lang w:eastAsia="zh-CN"/>
              </w:rPr>
              <w:t>7、数据准备：在进行绩效考核评分之前的准备工作。对数据进行收集，对需要手动填报的数据进行填报和审核。并支持相关佐证材料的查看功能。</w:t>
            </w:r>
          </w:p>
          <w:p>
            <w:pPr>
              <w:pStyle w:val="2"/>
              <w:spacing w:line="360" w:lineRule="auto"/>
              <w:ind w:firstLine="0" w:firstLineChars="0"/>
              <w:rPr>
                <w:sz w:val="24"/>
                <w:lang w:eastAsia="zh-CN"/>
              </w:rPr>
            </w:pPr>
            <w:r>
              <w:rPr>
                <w:rFonts w:hint="eastAsia"/>
                <w:sz w:val="24"/>
                <w:lang w:eastAsia="zh-CN"/>
              </w:rPr>
              <w:t>8、平台报送：绩效部门针对国家绩效考核指标通过指标自动采集计算、手动填报等方式按照国家要求完成填报工作。填报过程中可以针对各项指标进行质控检查，检查上报指标错误。最后可导出国家平台需要的数据格式以支持国家平台导入。</w:t>
            </w:r>
          </w:p>
          <w:p>
            <w:pPr>
              <w:pStyle w:val="2"/>
              <w:spacing w:line="360" w:lineRule="auto"/>
              <w:ind w:firstLine="0" w:firstLineChars="0"/>
              <w:rPr>
                <w:sz w:val="24"/>
                <w:lang w:eastAsia="zh-CN"/>
              </w:rPr>
            </w:pPr>
            <w:r>
              <w:rPr>
                <w:rFonts w:hint="eastAsia"/>
                <w:sz w:val="24"/>
                <w:lang w:eastAsia="zh-CN"/>
              </w:rPr>
              <w:t>9、指标月度报表：按照月度进行绩效指标数据展示。并提供按月维度的报表导出功能。</w:t>
            </w:r>
          </w:p>
          <w:p>
            <w:pPr>
              <w:pStyle w:val="2"/>
              <w:spacing w:line="360" w:lineRule="auto"/>
              <w:ind w:firstLine="0" w:firstLineChars="0"/>
              <w:rPr>
                <w:sz w:val="24"/>
                <w:lang w:eastAsia="zh-CN"/>
              </w:rPr>
            </w:pPr>
            <w:r>
              <w:rPr>
                <w:rFonts w:hint="eastAsia"/>
                <w:sz w:val="24"/>
                <w:lang w:eastAsia="zh-CN"/>
              </w:rPr>
              <w:t>二、数据质控</w:t>
            </w:r>
          </w:p>
          <w:p>
            <w:pPr>
              <w:pStyle w:val="2"/>
              <w:spacing w:line="360" w:lineRule="auto"/>
              <w:ind w:firstLine="0" w:firstLineChars="0"/>
              <w:rPr>
                <w:color w:val="000000"/>
                <w:sz w:val="24"/>
                <w:lang w:eastAsia="zh-CN"/>
              </w:rPr>
            </w:pPr>
            <w:r>
              <w:rPr>
                <w:rFonts w:hint="eastAsia"/>
                <w:sz w:val="24"/>
                <w:lang w:eastAsia="zh-CN"/>
              </w:rPr>
              <w:t>包括</w:t>
            </w:r>
            <w:r>
              <w:rPr>
                <w:rFonts w:hint="eastAsia"/>
                <w:color w:val="000000"/>
                <w:sz w:val="24"/>
                <w:lang w:eastAsia="zh-CN"/>
              </w:rPr>
              <w:t>病案首页批量质控、病案首页数据修订、病案首页质控查询、病案首页质量分析、病案首页缺陷分析、病案首页质控规则；</w:t>
            </w:r>
          </w:p>
          <w:p>
            <w:pPr>
              <w:pStyle w:val="2"/>
              <w:spacing w:line="360" w:lineRule="auto"/>
              <w:ind w:firstLine="0" w:firstLineChars="0"/>
              <w:rPr>
                <w:color w:val="000000"/>
                <w:sz w:val="24"/>
                <w:lang w:eastAsia="zh-CN"/>
              </w:rPr>
            </w:pPr>
            <w:r>
              <w:rPr>
                <w:rFonts w:hint="eastAsia"/>
                <w:color w:val="000000"/>
                <w:sz w:val="24"/>
                <w:lang w:eastAsia="zh-CN"/>
              </w:rPr>
              <w:t>三、上报中心：病案首页上报、上报历史记录、上报配置管理</w:t>
            </w:r>
          </w:p>
          <w:p>
            <w:pPr>
              <w:pStyle w:val="2"/>
              <w:spacing w:line="360" w:lineRule="auto"/>
              <w:ind w:firstLine="0" w:firstLineChars="0"/>
              <w:rPr>
                <w:color w:val="000000"/>
                <w:sz w:val="24"/>
                <w:lang w:eastAsia="zh-CN"/>
              </w:rPr>
            </w:pPr>
            <w:r>
              <w:rPr>
                <w:rFonts w:hint="eastAsia"/>
                <w:color w:val="000000"/>
                <w:sz w:val="24"/>
                <w:lang w:eastAsia="zh-CN"/>
              </w:rPr>
              <w:t>四、工作报告：</w:t>
            </w:r>
          </w:p>
          <w:p>
            <w:pPr>
              <w:pStyle w:val="2"/>
              <w:numPr>
                <w:ilvl w:val="0"/>
                <w:numId w:val="5"/>
              </w:numPr>
              <w:spacing w:line="360" w:lineRule="auto"/>
              <w:ind w:firstLine="240"/>
              <w:rPr>
                <w:color w:val="000000"/>
                <w:sz w:val="24"/>
                <w:lang w:eastAsia="zh-CN"/>
              </w:rPr>
            </w:pPr>
            <w:r>
              <w:rPr>
                <w:rFonts w:hint="eastAsia"/>
                <w:color w:val="000000"/>
                <w:sz w:val="24"/>
                <w:lang w:eastAsia="zh-CN"/>
              </w:rPr>
              <w:t>工作记录：根据工作类型和业务时间查询绩效考核工作的相关记录，并对业务操作详情进行展示</w:t>
            </w:r>
          </w:p>
          <w:p>
            <w:pPr>
              <w:pStyle w:val="2"/>
              <w:numPr>
                <w:ilvl w:val="0"/>
                <w:numId w:val="5"/>
              </w:numPr>
              <w:spacing w:line="360" w:lineRule="auto"/>
              <w:ind w:firstLine="240"/>
              <w:rPr>
                <w:color w:val="000000"/>
                <w:sz w:val="24"/>
                <w:lang w:eastAsia="zh-CN"/>
              </w:rPr>
            </w:pPr>
            <w:r>
              <w:rPr>
                <w:rFonts w:hint="eastAsia"/>
                <w:color w:val="000000"/>
                <w:sz w:val="24"/>
                <w:lang w:eastAsia="zh-CN"/>
              </w:rPr>
              <w:t>工作报告：根据报告年度和类型生成相应的工作报告，并提供下载功能。工作报告类型包括：病案首页质量评分分析报告、绩效指标监测报告、病案首页数据质控报告</w:t>
            </w:r>
          </w:p>
          <w:p>
            <w:pPr>
              <w:pStyle w:val="2"/>
              <w:numPr>
                <w:ilvl w:val="0"/>
                <w:numId w:val="5"/>
              </w:numPr>
              <w:spacing w:line="360" w:lineRule="auto"/>
              <w:ind w:firstLine="240"/>
              <w:rPr>
                <w:color w:val="000000"/>
                <w:sz w:val="24"/>
                <w:lang w:eastAsia="zh-CN"/>
              </w:rPr>
            </w:pPr>
            <w:r>
              <w:rPr>
                <w:rFonts w:hint="eastAsia"/>
                <w:color w:val="000000"/>
                <w:sz w:val="24"/>
                <w:lang w:eastAsia="zh-CN"/>
              </w:rPr>
              <w:t>工作统计：按照年度、工作类型提供相关人员工作量查询功能</w:t>
            </w:r>
          </w:p>
          <w:p>
            <w:pPr>
              <w:pStyle w:val="2"/>
              <w:spacing w:line="360" w:lineRule="auto"/>
              <w:ind w:firstLine="0" w:firstLineChars="0"/>
              <w:rPr>
                <w:color w:val="000000"/>
                <w:sz w:val="24"/>
                <w:lang w:eastAsia="zh-CN"/>
              </w:rPr>
            </w:pPr>
            <w:r>
              <w:rPr>
                <w:rFonts w:hint="eastAsia"/>
                <w:color w:val="000000"/>
                <w:sz w:val="24"/>
                <w:lang w:eastAsia="zh-CN"/>
              </w:rPr>
              <w:t>五、</w:t>
            </w:r>
            <w:r>
              <w:rPr>
                <w:rFonts w:hint="eastAsia"/>
                <w:color w:val="000000"/>
                <w:sz w:val="24"/>
              </w:rPr>
              <w:t>数据仓库</w:t>
            </w:r>
            <w:r>
              <w:rPr>
                <w:rFonts w:hint="eastAsia"/>
                <w:color w:val="000000"/>
                <w:sz w:val="24"/>
                <w:lang w:eastAsia="zh-CN"/>
              </w:rPr>
              <w:t>：</w:t>
            </w:r>
          </w:p>
          <w:p>
            <w:pPr>
              <w:pStyle w:val="2"/>
              <w:numPr>
                <w:ilvl w:val="0"/>
                <w:numId w:val="6"/>
              </w:numPr>
              <w:spacing w:line="360" w:lineRule="auto"/>
              <w:ind w:firstLine="240"/>
              <w:rPr>
                <w:color w:val="000000"/>
                <w:sz w:val="24"/>
                <w:lang w:eastAsia="zh-CN"/>
              </w:rPr>
            </w:pPr>
            <w:r>
              <w:rPr>
                <w:rFonts w:hint="eastAsia"/>
                <w:color w:val="000000"/>
                <w:sz w:val="24"/>
                <w:lang w:eastAsia="zh-CN"/>
              </w:rPr>
              <w:t>数据目录：提供对注册数据目录包含病案首页数据、HIS门诊数据、HIS住院数据、合理用药数据、影像报告数据的数据抽取自动执行的结果的统计，获取各数据目录采集的总记录数、最新入库时间等，同时支持立即执行数据采集的功能。（采购人提供各个指标的接口，供投标人进行数据采集）；</w:t>
            </w:r>
          </w:p>
          <w:p>
            <w:pPr>
              <w:pStyle w:val="2"/>
              <w:numPr>
                <w:ilvl w:val="0"/>
                <w:numId w:val="6"/>
              </w:numPr>
              <w:spacing w:line="360" w:lineRule="auto"/>
              <w:ind w:firstLine="240"/>
              <w:rPr>
                <w:color w:val="000000"/>
                <w:sz w:val="24"/>
                <w:lang w:eastAsia="zh-CN"/>
              </w:rPr>
            </w:pPr>
            <w:r>
              <w:rPr>
                <w:rFonts w:hint="eastAsia"/>
                <w:color w:val="000000"/>
                <w:sz w:val="24"/>
                <w:lang w:eastAsia="zh-CN"/>
              </w:rPr>
              <w:t>标准管理：提供对绩效考核指标的定义进行维护，以及采购人自定义分类设置，指标计算结果反馈等功能；</w:t>
            </w:r>
          </w:p>
          <w:p>
            <w:pPr>
              <w:pStyle w:val="2"/>
              <w:numPr>
                <w:ilvl w:val="0"/>
                <w:numId w:val="6"/>
              </w:numPr>
              <w:spacing w:line="360" w:lineRule="auto"/>
              <w:ind w:firstLine="240"/>
              <w:rPr>
                <w:color w:val="000000"/>
                <w:sz w:val="24"/>
                <w:lang w:eastAsia="zh-CN"/>
              </w:rPr>
            </w:pPr>
            <w:r>
              <w:rPr>
                <w:rFonts w:hint="eastAsia"/>
                <w:color w:val="000000"/>
                <w:sz w:val="24"/>
                <w:lang w:eastAsia="zh-CN"/>
              </w:rPr>
              <w:t>数据作业：提供对采购人病案首页、HIS、影像报告等数据采集自动增量功能，以及各种指标计算、统计汇总转换自动运行。</w:t>
            </w:r>
            <w:r>
              <w:rPr>
                <w:rFonts w:hint="eastAsia"/>
                <w:color w:val="000000"/>
                <w:sz w:val="24"/>
              </w:rPr>
              <w:t>（采购人提供接口）</w:t>
            </w:r>
          </w:p>
          <w:p>
            <w:pPr>
              <w:pStyle w:val="2"/>
              <w:numPr>
                <w:ilvl w:val="0"/>
                <w:numId w:val="6"/>
              </w:numPr>
              <w:spacing w:line="360" w:lineRule="auto"/>
              <w:ind w:firstLine="240"/>
              <w:rPr>
                <w:color w:val="000000"/>
                <w:sz w:val="24"/>
                <w:lang w:eastAsia="zh-CN"/>
              </w:rPr>
            </w:pPr>
            <w:r>
              <w:rPr>
                <w:rFonts w:hint="eastAsia"/>
                <w:color w:val="000000"/>
                <w:sz w:val="24"/>
                <w:lang w:eastAsia="zh-CN"/>
              </w:rPr>
              <w:t>数据接入：设置病案首页数据、HIS数据、合理用药数据、影像报告数据、财务运行数据接入方式，通过数据库对接方式以及基于卫健委财务司标准财务报表的财务接口标准实现数据接入。同时提供病案首页数据抽取后的数据质量评估报告功能。</w:t>
            </w:r>
          </w:p>
          <w:p>
            <w:pPr>
              <w:pStyle w:val="2"/>
              <w:spacing w:line="360" w:lineRule="auto"/>
              <w:ind w:firstLine="0" w:firstLineChars="0"/>
              <w:rPr>
                <w:color w:val="000000"/>
                <w:sz w:val="24"/>
                <w:lang w:eastAsia="zh-CN"/>
              </w:rPr>
            </w:pPr>
            <w:r>
              <w:rPr>
                <w:rFonts w:hint="eastAsia"/>
                <w:color w:val="000000"/>
                <w:sz w:val="24"/>
                <w:lang w:eastAsia="zh-CN"/>
              </w:rPr>
              <w:t>六、接口要求：需具备与四川省及国家公立医院绩效考核平台数据报送接口；</w:t>
            </w:r>
          </w:p>
        </w:tc>
        <w:tc>
          <w:tcPr>
            <w:tcW w:w="1097" w:type="dxa"/>
            <w:shd w:val="clear" w:color="auto" w:fill="auto"/>
            <w:noWrap/>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shd w:val="clear" w:color="auto" w:fill="auto"/>
            <w:noWrap/>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8</w:t>
            </w:r>
          </w:p>
        </w:tc>
        <w:tc>
          <w:tcPr>
            <w:tcW w:w="970" w:type="dxa"/>
            <w:shd w:val="clear" w:color="auto" w:fill="auto"/>
            <w:noWrap/>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内镜洗消追溯系统</w:t>
            </w:r>
          </w:p>
        </w:tc>
        <w:tc>
          <w:tcPr>
            <w:tcW w:w="6863" w:type="dxa"/>
            <w:shd w:val="clear" w:color="auto" w:fill="auto"/>
            <w:noWrap/>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为响应中华人民共和国国家卫生健康委员会发布的WS 507-2016《软式内镜清洗消毒技术规范》的要求，拟建设内镜洗消追溯管理信息化，实现涵盖医院内镜中心洗消室和诊疗室，实现全程信息化管理，支持接入现有软件平台和清洗设备，获取患者信息并形成全闭合的完整追溯链。并自动生成综合人财物管理的数据统计分析报表，提升科室综合管理效率。</w:t>
            </w:r>
          </w:p>
        </w:tc>
        <w:tc>
          <w:tcPr>
            <w:tcW w:w="1097" w:type="dxa"/>
            <w:shd w:val="clear" w:color="auto" w:fill="auto"/>
            <w:noWrap/>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2套</w:t>
            </w:r>
          </w:p>
        </w:tc>
      </w:tr>
    </w:tbl>
    <w:p>
      <w:pPr>
        <w:rPr>
          <w:rFonts w:asciiTheme="minorEastAsia" w:hAnsiTheme="minorEastAsia" w:eastAsiaTheme="minorEastAsia"/>
          <w:b/>
          <w:sz w:val="24"/>
        </w:rPr>
      </w:pPr>
      <w:r>
        <w:rPr>
          <w:rFonts w:asciiTheme="minorEastAsia" w:hAnsiTheme="minorEastAsia" w:eastAsiaTheme="minorEastAsia"/>
          <w:b/>
          <w:sz w:val="24"/>
        </w:rPr>
        <w:t>其他要求</w:t>
      </w:r>
      <w:r>
        <w:rPr>
          <w:rFonts w:hint="eastAsia" w:asciiTheme="minorEastAsia" w:hAnsiTheme="minorEastAsia" w:eastAsiaTheme="minorEastAsia"/>
          <w:b/>
          <w:sz w:val="24"/>
        </w:rPr>
        <w:t>：</w:t>
      </w:r>
    </w:p>
    <w:p>
      <w:pPr>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本项目为交钥匙工程，即项目中包含的所有新建或升级的信息系统与医院现有信息系统（包括不限于HIS、LIS、PACS、集成平台、病案首页等）须实现对接和互联互通，所有费用由供应商承担。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9288E3"/>
    <w:multiLevelType w:val="singleLevel"/>
    <w:tmpl w:val="B89288E3"/>
    <w:lvl w:ilvl="0" w:tentative="0">
      <w:start w:val="1"/>
      <w:numFmt w:val="decimal"/>
      <w:lvlText w:val="%1."/>
      <w:lvlJc w:val="left"/>
      <w:pPr>
        <w:ind w:left="425" w:hanging="425"/>
      </w:pPr>
      <w:rPr>
        <w:rFonts w:hint="default"/>
      </w:rPr>
    </w:lvl>
  </w:abstractNum>
  <w:abstractNum w:abstractNumId="1">
    <w:nsid w:val="E3423D85"/>
    <w:multiLevelType w:val="singleLevel"/>
    <w:tmpl w:val="E3423D85"/>
    <w:lvl w:ilvl="0" w:tentative="0">
      <w:start w:val="1"/>
      <w:numFmt w:val="decimal"/>
      <w:suff w:val="nothing"/>
      <w:lvlText w:val="%1、"/>
      <w:lvlJc w:val="left"/>
    </w:lvl>
  </w:abstractNum>
  <w:abstractNum w:abstractNumId="2">
    <w:nsid w:val="0D9123E7"/>
    <w:multiLevelType w:val="singleLevel"/>
    <w:tmpl w:val="0D9123E7"/>
    <w:lvl w:ilvl="0" w:tentative="0">
      <w:start w:val="1"/>
      <w:numFmt w:val="chineseCounting"/>
      <w:suff w:val="nothing"/>
      <w:lvlText w:val="%1、"/>
      <w:lvlJc w:val="left"/>
      <w:rPr>
        <w:rFonts w:hint="eastAsia"/>
      </w:rPr>
    </w:lvl>
  </w:abstractNum>
  <w:abstractNum w:abstractNumId="3">
    <w:nsid w:val="17D5051A"/>
    <w:multiLevelType w:val="multilevel"/>
    <w:tmpl w:val="17D5051A"/>
    <w:lvl w:ilvl="0" w:tentative="0">
      <w:start w:val="1"/>
      <w:numFmt w:val="decimal"/>
      <w:lvlText w:val="%1."/>
      <w:lvlJc w:val="left"/>
      <w:pPr>
        <w:ind w:left="420" w:hanging="420"/>
      </w:pPr>
    </w:lvl>
    <w:lvl w:ilvl="1" w:tentative="0">
      <w:start w:val="0"/>
      <w:numFmt w:val="bullet"/>
      <w:lvlText w:val="★"/>
      <w:lvlJc w:val="left"/>
      <w:pPr>
        <w:ind w:left="780" w:hanging="360"/>
      </w:pPr>
      <w:rPr>
        <w:rFonts w:hint="eastAsia" w:ascii="等线" w:hAnsi="等线" w:eastAsia="等线" w:cstheme="minorBidi"/>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13B352D"/>
    <w:multiLevelType w:val="singleLevel"/>
    <w:tmpl w:val="213B352D"/>
    <w:lvl w:ilvl="0" w:tentative="0">
      <w:start w:val="1"/>
      <w:numFmt w:val="decimal"/>
      <w:suff w:val="nothing"/>
      <w:lvlText w:val="%1、"/>
      <w:lvlJc w:val="left"/>
    </w:lvl>
  </w:abstractNum>
  <w:abstractNum w:abstractNumId="5">
    <w:nsid w:val="6A800907"/>
    <w:multiLevelType w:val="multilevel"/>
    <w:tmpl w:val="6A800907"/>
    <w:lvl w:ilvl="0" w:tentative="0">
      <w:start w:val="1"/>
      <w:numFmt w:val="decimal"/>
      <w:lvlText w:val="（%1）"/>
      <w:lvlJc w:val="left"/>
      <w:pPr>
        <w:ind w:left="825" w:hanging="825"/>
      </w:pPr>
      <w:rPr>
        <w:rFonts w:hint="default"/>
      </w:rPr>
    </w:lvl>
    <w:lvl w:ilvl="1" w:tentative="0">
      <w:start w:val="1"/>
      <w:numFmt w:val="lowerLetter"/>
      <w:pStyle w:val="17"/>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hZGExYWU4NTI0MTBkOWZhNWJkNTMwMmI2OTU5ZjIifQ=="/>
  </w:docVars>
  <w:rsids>
    <w:rsidRoot w:val="00811DE4"/>
    <w:rsid w:val="00003EE4"/>
    <w:rsid w:val="001A49DD"/>
    <w:rsid w:val="00286793"/>
    <w:rsid w:val="00482E61"/>
    <w:rsid w:val="004E4684"/>
    <w:rsid w:val="005821E9"/>
    <w:rsid w:val="0078562C"/>
    <w:rsid w:val="00811DE4"/>
    <w:rsid w:val="00820B9B"/>
    <w:rsid w:val="00837358"/>
    <w:rsid w:val="008F1BB4"/>
    <w:rsid w:val="00913295"/>
    <w:rsid w:val="0094476C"/>
    <w:rsid w:val="009662F5"/>
    <w:rsid w:val="009A06F4"/>
    <w:rsid w:val="00B5053D"/>
    <w:rsid w:val="00D75C54"/>
    <w:rsid w:val="00DC5F67"/>
    <w:rsid w:val="00E30DE2"/>
    <w:rsid w:val="00E33439"/>
    <w:rsid w:val="00EF5285"/>
    <w:rsid w:val="1C967978"/>
    <w:rsid w:val="3BCB4B47"/>
    <w:rsid w:val="6E8C6FA4"/>
    <w:rsid w:val="73DD5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heme="minorBidi"/>
      <w:kern w:val="2"/>
      <w:sz w:val="21"/>
      <w:szCs w:val="24"/>
      <w:lang w:val="en-US" w:eastAsia="zh-CN" w:bidi="ar-SA"/>
    </w:rPr>
  </w:style>
  <w:style w:type="paragraph" w:styleId="4">
    <w:name w:val="heading 1"/>
    <w:basedOn w:val="1"/>
    <w:next w:val="1"/>
    <w:link w:val="20"/>
    <w:qFormat/>
    <w:uiPriority w:val="9"/>
    <w:pPr>
      <w:keepNext/>
      <w:keepLines/>
      <w:spacing w:before="340" w:after="330" w:line="578" w:lineRule="auto"/>
      <w:outlineLvl w:val="0"/>
    </w:pPr>
    <w:rPr>
      <w:rFonts w:cs="Times New Roman"/>
      <w:b/>
      <w:bCs/>
      <w:kern w:val="44"/>
      <w:sz w:val="44"/>
      <w:szCs w:val="44"/>
    </w:rPr>
  </w:style>
  <w:style w:type="paragraph" w:styleId="5">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0"/>
      <w:szCs w:val="32"/>
    </w:rPr>
  </w:style>
  <w:style w:type="paragraph" w:styleId="6">
    <w:name w:val="heading 3"/>
    <w:basedOn w:val="1"/>
    <w:next w:val="1"/>
    <w:link w:val="22"/>
    <w:unhideWhenUsed/>
    <w:qFormat/>
    <w:uiPriority w:val="9"/>
    <w:pPr>
      <w:keepNext/>
      <w:keepLines/>
      <w:spacing w:before="260" w:after="260" w:line="416" w:lineRule="auto"/>
      <w:outlineLvl w:val="2"/>
    </w:pPr>
    <w:rPr>
      <w:rFonts w:cs="Times New Roman"/>
      <w:b/>
      <w:bCs/>
      <w:sz w:val="32"/>
      <w:szCs w:val="32"/>
    </w:rPr>
  </w:style>
  <w:style w:type="paragraph" w:styleId="7">
    <w:name w:val="heading 4"/>
    <w:basedOn w:val="1"/>
    <w:next w:val="1"/>
    <w:link w:val="23"/>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24"/>
    <w:unhideWhenUsed/>
    <w:qFormat/>
    <w:uiPriority w:val="99"/>
    <w:pPr>
      <w:spacing w:after="0"/>
      <w:ind w:firstLine="420" w:firstLineChars="100"/>
      <w:jc w:val="left"/>
    </w:pPr>
    <w:rPr>
      <w:rFonts w:ascii="宋体" w:hAnsi="宋体" w:cs="宋体"/>
      <w:lang w:eastAsia="en-US"/>
    </w:rPr>
  </w:style>
  <w:style w:type="paragraph" w:styleId="3">
    <w:name w:val="Body Text"/>
    <w:basedOn w:val="1"/>
    <w:next w:val="1"/>
    <w:link w:val="19"/>
    <w:unhideWhenUsed/>
    <w:qFormat/>
    <w:uiPriority w:val="0"/>
    <w:pPr>
      <w:spacing w:after="120"/>
    </w:pPr>
  </w:style>
  <w:style w:type="paragraph" w:styleId="8">
    <w:name w:val="footer"/>
    <w:basedOn w:val="1"/>
    <w:link w:val="28"/>
    <w:unhideWhenUsed/>
    <w:qFormat/>
    <w:uiPriority w:val="99"/>
    <w:pPr>
      <w:tabs>
        <w:tab w:val="center" w:pos="4153"/>
        <w:tab w:val="right" w:pos="8306"/>
      </w:tabs>
      <w:snapToGrid w:val="0"/>
      <w:jc w:val="left"/>
    </w:pPr>
    <w:rPr>
      <w:sz w:val="18"/>
      <w:szCs w:val="18"/>
    </w:rPr>
  </w:style>
  <w:style w:type="paragraph" w:styleId="9">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12">
    <w:name w:val="引用1"/>
    <w:next w:val="1"/>
    <w:qFormat/>
    <w:uiPriority w:val="99"/>
    <w:pPr>
      <w:wordWrap w:val="0"/>
      <w:spacing w:before="200" w:after="160"/>
      <w:ind w:left="864" w:right="864"/>
      <w:jc w:val="center"/>
    </w:pPr>
    <w:rPr>
      <w:rFonts w:ascii="Times New Roman" w:hAnsi="Times New Roman" w:eastAsia="宋体" w:cs="Times New Roman"/>
      <w:i/>
      <w:iCs/>
      <w:sz w:val="21"/>
      <w:szCs w:val="21"/>
      <w:lang w:val="en-US" w:eastAsia="zh-CN" w:bidi="ar-SA"/>
    </w:rPr>
  </w:style>
  <w:style w:type="character" w:customStyle="1" w:styleId="13">
    <w:name w:val="NormalCharacter"/>
    <w:semiHidden/>
    <w:qFormat/>
    <w:uiPriority w:val="0"/>
  </w:style>
  <w:style w:type="paragraph" w:customStyle="1" w:styleId="14">
    <w:name w:val="BodyText"/>
    <w:basedOn w:val="1"/>
    <w:next w:val="1"/>
    <w:qFormat/>
    <w:uiPriority w:val="0"/>
    <w:pPr>
      <w:jc w:val="left"/>
    </w:pPr>
    <w:rPr>
      <w:rFonts w:ascii="宋体" w:hAnsi="宋体" w:cs="Times New Roman"/>
      <w:lang w:eastAsia="en-US"/>
    </w:rPr>
  </w:style>
  <w:style w:type="paragraph" w:customStyle="1" w:styleId="15">
    <w:name w:val="纯文本1"/>
    <w:basedOn w:val="1"/>
    <w:qFormat/>
    <w:uiPriority w:val="0"/>
    <w:rPr>
      <w:rFonts w:ascii="宋体" w:hAnsi="Courier New" w:cs="Times New Roman"/>
    </w:rPr>
  </w:style>
  <w:style w:type="paragraph" w:customStyle="1" w:styleId="1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
    <w:name w:val="引言二级条标题"/>
    <w:basedOn w:val="1"/>
    <w:next w:val="16"/>
    <w:qFormat/>
    <w:uiPriority w:val="0"/>
    <w:pPr>
      <w:widowControl/>
      <w:numPr>
        <w:ilvl w:val="1"/>
        <w:numId w:val="1"/>
      </w:numPr>
      <w:tabs>
        <w:tab w:val="left" w:pos="0"/>
        <w:tab w:val="left" w:pos="360"/>
        <w:tab w:val="left" w:pos="1200"/>
        <w:tab w:val="left" w:pos="1320"/>
      </w:tabs>
      <w:jc w:val="left"/>
    </w:pPr>
    <w:rPr>
      <w:rFonts w:eastAsia="黑体" w:cs="Times New Roman"/>
      <w:b/>
      <w:kern w:val="0"/>
      <w:sz w:val="20"/>
      <w:szCs w:val="20"/>
    </w:rPr>
  </w:style>
  <w:style w:type="paragraph" w:customStyle="1" w:styleId="18">
    <w:name w:val="无间隔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9">
    <w:name w:val="正文文本 Char"/>
    <w:basedOn w:val="11"/>
    <w:link w:val="3"/>
    <w:qFormat/>
    <w:uiPriority w:val="0"/>
    <w:rPr>
      <w:rFonts w:ascii="Times New Roman" w:hAnsi="Times New Roman" w:eastAsia="宋体"/>
      <w:szCs w:val="24"/>
    </w:rPr>
  </w:style>
  <w:style w:type="character" w:customStyle="1" w:styleId="20">
    <w:name w:val="标题 1 Char"/>
    <w:basedOn w:val="11"/>
    <w:link w:val="4"/>
    <w:qFormat/>
    <w:uiPriority w:val="9"/>
    <w:rPr>
      <w:rFonts w:ascii="Times New Roman" w:hAnsi="Times New Roman" w:eastAsia="宋体" w:cs="Times New Roman"/>
      <w:b/>
      <w:bCs/>
      <w:kern w:val="44"/>
      <w:sz w:val="44"/>
      <w:szCs w:val="44"/>
    </w:rPr>
  </w:style>
  <w:style w:type="character" w:customStyle="1" w:styleId="21">
    <w:name w:val="标题 2 Char"/>
    <w:basedOn w:val="11"/>
    <w:link w:val="5"/>
    <w:qFormat/>
    <w:uiPriority w:val="9"/>
    <w:rPr>
      <w:rFonts w:asciiTheme="majorHAnsi" w:hAnsiTheme="majorHAnsi" w:eastAsiaTheme="majorEastAsia" w:cstheme="majorBidi"/>
      <w:b/>
      <w:bCs/>
      <w:sz w:val="30"/>
      <w:szCs w:val="32"/>
    </w:rPr>
  </w:style>
  <w:style w:type="character" w:customStyle="1" w:styleId="22">
    <w:name w:val="标题 3 Char"/>
    <w:basedOn w:val="11"/>
    <w:link w:val="6"/>
    <w:qFormat/>
    <w:uiPriority w:val="9"/>
    <w:rPr>
      <w:rFonts w:ascii="Times New Roman" w:hAnsi="Times New Roman" w:eastAsia="宋体" w:cs="Times New Roman"/>
      <w:b/>
      <w:bCs/>
      <w:sz w:val="32"/>
      <w:szCs w:val="32"/>
    </w:rPr>
  </w:style>
  <w:style w:type="character" w:customStyle="1" w:styleId="23">
    <w:name w:val="标题 4 Char"/>
    <w:basedOn w:val="11"/>
    <w:link w:val="7"/>
    <w:qFormat/>
    <w:uiPriority w:val="9"/>
    <w:rPr>
      <w:rFonts w:asciiTheme="majorHAnsi" w:hAnsiTheme="majorHAnsi" w:eastAsiaTheme="majorEastAsia" w:cstheme="majorBidi"/>
      <w:b/>
      <w:bCs/>
      <w:sz w:val="28"/>
      <w:szCs w:val="28"/>
    </w:rPr>
  </w:style>
  <w:style w:type="character" w:customStyle="1" w:styleId="24">
    <w:name w:val="正文首行缩进 Char"/>
    <w:basedOn w:val="19"/>
    <w:link w:val="2"/>
    <w:qFormat/>
    <w:uiPriority w:val="99"/>
    <w:rPr>
      <w:rFonts w:ascii="宋体" w:hAnsi="宋体" w:eastAsia="宋体" w:cs="宋体"/>
      <w:szCs w:val="24"/>
      <w:lang w:eastAsia="en-US"/>
    </w:rPr>
  </w:style>
  <w:style w:type="paragraph" w:styleId="25">
    <w:name w:val="List Paragraph"/>
    <w:basedOn w:val="1"/>
    <w:qFormat/>
    <w:uiPriority w:val="34"/>
    <w:pPr>
      <w:ind w:firstLine="420" w:firstLineChars="200"/>
    </w:pPr>
    <w:rPr>
      <w:rFonts w:cs="Times New Roman"/>
    </w:rPr>
  </w:style>
  <w:style w:type="paragraph" w:customStyle="1" w:styleId="26">
    <w:name w:val="TOC 标题1"/>
    <w:basedOn w:val="4"/>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页眉 Char"/>
    <w:basedOn w:val="11"/>
    <w:link w:val="9"/>
    <w:qFormat/>
    <w:uiPriority w:val="99"/>
    <w:rPr>
      <w:rFonts w:ascii="Times New Roman" w:hAnsi="Times New Roman" w:eastAsia="宋体"/>
      <w:kern w:val="2"/>
      <w:sz w:val="18"/>
      <w:szCs w:val="18"/>
    </w:rPr>
  </w:style>
  <w:style w:type="character" w:customStyle="1" w:styleId="28">
    <w:name w:val="页脚 Char"/>
    <w:basedOn w:val="11"/>
    <w:link w:val="8"/>
    <w:qFormat/>
    <w:uiPriority w:val="99"/>
    <w:rPr>
      <w:rFonts w:ascii="Times New Roman" w:hAnsi="Times New Roman" w:eastAsia="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4406</Words>
  <Characters>4549</Characters>
  <Lines>33</Lines>
  <Paragraphs>9</Paragraphs>
  <TotalTime>30</TotalTime>
  <ScaleCrop>false</ScaleCrop>
  <LinksUpToDate>false</LinksUpToDate>
  <CharactersWithSpaces>4582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2023-07-07T00:57:00Z</dcterms:created>
  <dc:creator>YY-PC</dc:creator>
  <cp:lastModifiedBy>我就是我</cp:lastModifiedBy>
  <dcterms:modified xsi:type="dcterms:W3CDTF">2023-07-30T23:53:48Z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0E9BBB4105CE4A7FA25FC53F33FA9716_13</vt:lpwstr>
  </property>
</Properties>
</file>