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b/>
          <w:bCs/>
          <w:sz w:val="24"/>
        </w:rPr>
      </w:pPr>
      <w:r>
        <w:rPr>
          <w:rFonts w:hint="eastAsia" w:ascii="Times New Roman" w:hAnsi="Times New Roman"/>
          <w:sz w:val="32"/>
          <w:szCs w:val="32"/>
        </w:rPr>
        <w:t>关于</w:t>
      </w:r>
      <w:r>
        <w:rPr>
          <w:rFonts w:hint="eastAsia" w:ascii="Times New Roman" w:hAnsi="Times New Roman"/>
          <w:sz w:val="32"/>
          <w:szCs w:val="32"/>
          <w:lang w:eastAsia="zh-CN"/>
        </w:rPr>
        <w:t>血液透析系统</w:t>
      </w:r>
      <w:r>
        <w:rPr>
          <w:rFonts w:hint="eastAsia" w:ascii="Times New Roman" w:hAnsi="Times New Roman"/>
          <w:sz w:val="32"/>
          <w:szCs w:val="32"/>
        </w:rPr>
        <w:t>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决定采购血液透析系统</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兹以公告方式邀请符合要求的供应商参加比选。</w:t>
      </w:r>
    </w:p>
    <w:p>
      <w:pPr>
        <w:pStyle w:val="55"/>
        <w:numPr>
          <w:ilvl w:val="0"/>
          <w:numId w:val="0"/>
        </w:numPr>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血液透析系统采购项目</w:t>
      </w:r>
    </w:p>
    <w:p>
      <w:pPr>
        <w:numPr>
          <w:ilvl w:val="0"/>
          <w:numId w:val="0"/>
        </w:numPr>
        <w:spacing w:line="440" w:lineRule="exact"/>
        <w:ind w:leftChars="0"/>
        <w:rPr>
          <w:rFonts w:hint="eastAsia"/>
          <w:lang w:eastAsia="zh-CN"/>
        </w:rPr>
      </w:pPr>
      <w:r>
        <w:rPr>
          <w:rFonts w:hint="eastAsia" w:ascii="Times New Roman" w:hAnsi="Times New Roman"/>
          <w:b/>
          <w:bCs/>
          <w:sz w:val="24"/>
          <w:szCs w:val="24"/>
          <w:lang w:eastAsia="zh-CN"/>
        </w:rPr>
        <w:t>二、采购最高限价：</w:t>
      </w:r>
      <w:r>
        <w:rPr>
          <w:rFonts w:hint="eastAsia" w:ascii="Times New Roman" w:hAnsi="Times New Roman"/>
          <w:b w:val="0"/>
          <w:bCs w:val="0"/>
          <w:sz w:val="24"/>
          <w:szCs w:val="24"/>
          <w:lang w:val="en-US" w:eastAsia="zh-CN"/>
        </w:rPr>
        <w:t>28.6万元。</w:t>
      </w:r>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8</w:t>
      </w:r>
      <w:r>
        <w:rPr>
          <w:rFonts w:ascii="Times New Roman" w:hAnsi="Times New Roman"/>
          <w:color w:val="auto"/>
          <w:sz w:val="24"/>
          <w:szCs w:val="24"/>
        </w:rPr>
        <w:t>月</w:t>
      </w:r>
      <w:r>
        <w:rPr>
          <w:rFonts w:hint="eastAsia" w:ascii="Times New Roman" w:hAnsi="Times New Roman"/>
          <w:color w:val="auto"/>
          <w:sz w:val="24"/>
          <w:szCs w:val="24"/>
          <w:lang w:val="en-US" w:eastAsia="zh-CN"/>
        </w:rPr>
        <w:t>8</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8</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8</w:t>
      </w:r>
      <w:r>
        <w:rPr>
          <w:rFonts w:ascii="Times New Roman" w:hAnsi="Times New Roman"/>
          <w:color w:val="auto"/>
          <w:sz w:val="24"/>
          <w:szCs w:val="24"/>
        </w:rPr>
        <w:t>月</w:t>
      </w:r>
      <w:r>
        <w:rPr>
          <w:rFonts w:hint="eastAsia" w:ascii="Times New Roman" w:hAnsi="Times New Roman"/>
          <w:color w:val="auto"/>
          <w:sz w:val="24"/>
          <w:szCs w:val="24"/>
          <w:lang w:val="en-US" w:eastAsia="zh-CN"/>
        </w:rPr>
        <w:t>15</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8</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15</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二楼</w:t>
      </w:r>
      <w:r>
        <w:rPr>
          <w:rFonts w:hint="eastAsia" w:ascii="Times New Roman" w:hAnsi="Times New Roman"/>
          <w:b w:val="0"/>
          <w:bCs/>
          <w:color w:val="auto"/>
          <w:sz w:val="24"/>
          <w:szCs w:val="24"/>
        </w:rPr>
        <w:t>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8</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pageBreakBefore w:val="0"/>
        <w:kinsoku/>
        <w:wordWrap/>
        <w:overflowPunct/>
        <w:topLinePunct w:val="0"/>
        <w:bidi w:val="0"/>
        <w:snapToGrid/>
        <w:spacing w:before="0" w:after="0" w:line="42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3"/>
        <w:pageBreakBefore w:val="0"/>
        <w:kinsoku/>
        <w:wordWrap/>
        <w:overflowPunct/>
        <w:topLinePunct w:val="0"/>
        <w:bidi w:val="0"/>
        <w:snapToGrid/>
        <w:spacing w:before="0" w:after="0" w:line="42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42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血液透析系统</w:t>
      </w:r>
      <w:r>
        <w:rPr>
          <w:rFonts w:hint="eastAsia" w:ascii="Times New Roman" w:hAnsi="Times New Roman"/>
          <w:color w:val="auto"/>
          <w:sz w:val="32"/>
          <w:szCs w:val="32"/>
          <w:lang w:eastAsia="zh-CN"/>
        </w:rPr>
        <w:t>采购的比选文件</w:t>
      </w:r>
    </w:p>
    <w:p>
      <w:pPr>
        <w:pStyle w:val="3"/>
        <w:pageBreakBefore w:val="0"/>
        <w:kinsoku/>
        <w:wordWrap/>
        <w:overflowPunct/>
        <w:topLinePunct w:val="0"/>
        <w:bidi w:val="0"/>
        <w:snapToGrid/>
        <w:spacing w:before="0" w:after="0" w:line="42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2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2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血液透析系统，</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20" w:lineRule="exact"/>
        <w:ind w:leftChars="0"/>
        <w:textAlignment w:val="auto"/>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血液透析系统采购项目</w:t>
      </w:r>
    </w:p>
    <w:p>
      <w:pPr>
        <w:pageBreakBefore w:val="0"/>
        <w:numPr>
          <w:ilvl w:val="0"/>
          <w:numId w:val="0"/>
        </w:numPr>
        <w:kinsoku/>
        <w:wordWrap/>
        <w:overflowPunct/>
        <w:topLinePunct w:val="0"/>
        <w:bidi w:val="0"/>
        <w:snapToGrid/>
        <w:spacing w:line="420" w:lineRule="exact"/>
        <w:ind w:leftChars="0"/>
        <w:textAlignment w:val="auto"/>
        <w:rPr>
          <w:rFonts w:ascii="Times New Roman" w:hAnsi="Times New Roman"/>
          <w:sz w:val="24"/>
          <w:szCs w:val="24"/>
        </w:rPr>
      </w:pPr>
      <w:r>
        <w:rPr>
          <w:rFonts w:hint="eastAsia" w:ascii="Times New Roman" w:hAnsi="Times New Roman"/>
          <w:b/>
          <w:bCs/>
          <w:sz w:val="24"/>
          <w:szCs w:val="24"/>
          <w:lang w:eastAsia="zh-CN"/>
        </w:rPr>
        <w:t>二、采购最高限价：</w:t>
      </w:r>
      <w:r>
        <w:rPr>
          <w:rFonts w:hint="eastAsia" w:ascii="Times New Roman" w:hAnsi="Times New Roman"/>
          <w:b w:val="0"/>
          <w:bCs w:val="0"/>
          <w:sz w:val="24"/>
          <w:szCs w:val="24"/>
          <w:lang w:val="en-US" w:eastAsia="zh-CN"/>
        </w:rPr>
        <w:t>28.6万元。</w:t>
      </w:r>
    </w:p>
    <w:p>
      <w:pPr>
        <w:pageBreakBefore w:val="0"/>
        <w:numPr>
          <w:ilvl w:val="0"/>
          <w:numId w:val="0"/>
        </w:numPr>
        <w:kinsoku/>
        <w:wordWrap/>
        <w:overflowPunct/>
        <w:topLinePunct w:val="0"/>
        <w:bidi w:val="0"/>
        <w:snapToGrid/>
        <w:spacing w:line="42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2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1、具有独立承担民事责任的能力。</w:t>
      </w:r>
    </w:p>
    <w:p>
      <w:pPr>
        <w:pageBreakBefore w:val="0"/>
        <w:kinsoku/>
        <w:wordWrap/>
        <w:overflowPunct/>
        <w:topLinePunct w:val="0"/>
        <w:bidi w:val="0"/>
        <w:snapToGrid/>
        <w:spacing w:line="42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2、具有良好的商业信誉和健全的财务会计制度。</w:t>
      </w:r>
    </w:p>
    <w:p>
      <w:pPr>
        <w:pageBreakBefore w:val="0"/>
        <w:kinsoku/>
        <w:wordWrap/>
        <w:overflowPunct/>
        <w:topLinePunct w:val="0"/>
        <w:bidi w:val="0"/>
        <w:snapToGrid/>
        <w:spacing w:line="42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3、具有履行合同所必须的项目设备和专业技术能力。</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r>
        <w:rPr>
          <w:rFonts w:hint="eastAsia" w:ascii="Times New Roman" w:hAnsi="Times New Roman"/>
          <w:kern w:val="0"/>
          <w:sz w:val="24"/>
          <w:szCs w:val="24"/>
          <w:lang w:val="zh-CN"/>
        </w:rPr>
        <w:t>。</w:t>
      </w:r>
    </w:p>
    <w:p>
      <w:pPr>
        <w:pageBreakBefore w:val="0"/>
        <w:kinsoku/>
        <w:wordWrap/>
        <w:overflowPunct/>
        <w:topLinePunct w:val="0"/>
        <w:bidi w:val="0"/>
        <w:snapToGrid/>
        <w:spacing w:line="42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5、参加本次采购活动前三年内，在经营活动中无重大违法记录。</w:t>
      </w:r>
    </w:p>
    <w:p>
      <w:pPr>
        <w:pageBreakBefore w:val="0"/>
        <w:kinsoku/>
        <w:wordWrap/>
        <w:overflowPunct/>
        <w:topLinePunct w:val="0"/>
        <w:bidi w:val="0"/>
        <w:snapToGrid/>
        <w:spacing w:line="42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6、供应商及其现任法定代表人或负责人近三年内不得具有行贿犯罪记录。</w:t>
      </w:r>
    </w:p>
    <w:p>
      <w:pPr>
        <w:pageBreakBefore w:val="0"/>
        <w:kinsoku/>
        <w:wordWrap/>
        <w:overflowPunct/>
        <w:topLinePunct w:val="0"/>
        <w:autoSpaceDE w:val="0"/>
        <w:autoSpaceDN w:val="0"/>
        <w:bidi w:val="0"/>
        <w:adjustRightInd w:val="0"/>
        <w:snapToGrid/>
        <w:spacing w:line="420" w:lineRule="exact"/>
        <w:contextualSpacing/>
        <w:textAlignment w:val="auto"/>
        <w:rPr>
          <w:rFonts w:hint="eastAsia" w:ascii="Times New Roman" w:hAnsi="Times New Roman"/>
          <w:color w:val="auto"/>
          <w:kern w:val="0"/>
          <w:sz w:val="24"/>
          <w:szCs w:val="24"/>
          <w:lang w:val="zh-CN"/>
        </w:rPr>
      </w:pPr>
      <w:r>
        <w:rPr>
          <w:rFonts w:hint="eastAsia" w:ascii="Times New Roman" w:hAnsi="Times New Roman"/>
          <w:color w:val="auto"/>
          <w:kern w:val="0"/>
          <w:sz w:val="24"/>
          <w:szCs w:val="24"/>
          <w:lang w:val="zh-CN"/>
        </w:rPr>
        <w:t>7、不存在与单位负责人为同一人或者存在直接控股、管理关系的其他供应商参与同一合同项下的采购活动的行为。</w:t>
      </w:r>
    </w:p>
    <w:p>
      <w:pPr>
        <w:pageBreakBefore w:val="0"/>
        <w:kinsoku/>
        <w:wordWrap/>
        <w:overflowPunct/>
        <w:topLinePunct w:val="0"/>
        <w:autoSpaceDE w:val="0"/>
        <w:autoSpaceDN w:val="0"/>
        <w:bidi w:val="0"/>
        <w:adjustRightInd w:val="0"/>
        <w:snapToGrid/>
        <w:spacing w:line="42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w:t>
      </w:r>
      <w:r>
        <w:rPr>
          <w:rFonts w:hint="eastAsia" w:ascii="Times New Roman" w:hAnsi="Times New Roman"/>
          <w:kern w:val="0"/>
          <w:sz w:val="24"/>
          <w:szCs w:val="24"/>
          <w:lang w:val="zh-CN"/>
        </w:rPr>
        <w:t>无</w:t>
      </w:r>
      <w:r>
        <w:rPr>
          <w:rFonts w:ascii="Times New Roman" w:hAnsi="Times New Roman"/>
          <w:kern w:val="0"/>
          <w:sz w:val="24"/>
          <w:szCs w:val="24"/>
          <w:lang w:val="zh-CN"/>
        </w:rPr>
        <w:t>重大违法记录的承诺书（公司成立不足三年的从成立之日起算）。</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zh-CN"/>
        </w:rPr>
        <w:t>供应商及其现任法定代表人或负责人近三年内不得具有行贿犯罪记录</w:t>
      </w:r>
      <w:r>
        <w:rPr>
          <w:rFonts w:ascii="Times New Roman" w:hAnsi="Times New Roman"/>
          <w:kern w:val="0"/>
          <w:sz w:val="24"/>
          <w:szCs w:val="24"/>
          <w:lang w:val="zh-CN"/>
        </w:rPr>
        <w:t>承诺书</w:t>
      </w:r>
      <w:r>
        <w:rPr>
          <w:rFonts w:hint="eastAsia" w:ascii="Times New Roman" w:hAnsi="Times New Roman"/>
          <w:kern w:val="0"/>
          <w:sz w:val="24"/>
          <w:szCs w:val="24"/>
          <w:lang w:val="zh-CN"/>
        </w:rPr>
        <w:t>。</w:t>
      </w:r>
    </w:p>
    <w:p>
      <w:pPr>
        <w:pageBreakBefore w:val="0"/>
        <w:kinsoku/>
        <w:wordWrap/>
        <w:overflowPunct/>
        <w:topLinePunct w:val="0"/>
        <w:autoSpaceDE w:val="0"/>
        <w:autoSpaceDN w:val="0"/>
        <w:bidi w:val="0"/>
        <w:adjustRightInd w:val="0"/>
        <w:snapToGrid/>
        <w:spacing w:line="420" w:lineRule="exact"/>
        <w:contextualSpacing/>
        <w:textAlignment w:val="auto"/>
        <w:rPr>
          <w:rFonts w:hint="eastAsia" w:ascii="Times New Roman" w:hAnsi="Times New Roman"/>
          <w:color w:val="auto"/>
          <w:kern w:val="0"/>
          <w:sz w:val="24"/>
          <w:szCs w:val="24"/>
          <w:lang w:val="zh-CN"/>
        </w:rPr>
      </w:pPr>
      <w:r>
        <w:rPr>
          <w:rFonts w:hint="eastAsia" w:ascii="Times New Roman" w:hAnsi="Times New Roman"/>
          <w:color w:val="auto"/>
          <w:kern w:val="0"/>
          <w:sz w:val="24"/>
          <w:szCs w:val="24"/>
          <w:lang w:val="zh-CN"/>
        </w:rPr>
        <w:t>7、不存在与单位负责人为同一人或者存在直接控股、管理关系的其他供应商参与同一合同项下的采购活动的行为。</w:t>
      </w:r>
    </w:p>
    <w:p>
      <w:pPr>
        <w:pageBreakBefore w:val="0"/>
        <w:kinsoku/>
        <w:wordWrap/>
        <w:overflowPunct/>
        <w:topLinePunct w:val="0"/>
        <w:bidi w:val="0"/>
        <w:snapToGrid/>
        <w:spacing w:line="420" w:lineRule="exact"/>
        <w:textAlignment w:val="auto"/>
        <w:rPr>
          <w:rFonts w:hint="eastAsia" w:ascii="Times New Roman" w:hAnsi="Times New Roman"/>
          <w:b/>
          <w:kern w:val="0"/>
          <w:sz w:val="24"/>
          <w:szCs w:val="24"/>
          <w:lang w:val="zh-CN"/>
        </w:rPr>
      </w:pPr>
    </w:p>
    <w:p>
      <w:pPr>
        <w:pageBreakBefore w:val="0"/>
        <w:kinsoku/>
        <w:wordWrap/>
        <w:overflowPunct/>
        <w:topLinePunct w:val="0"/>
        <w:bidi w:val="0"/>
        <w:snapToGrid/>
        <w:spacing w:line="420" w:lineRule="exact"/>
        <w:textAlignment w:val="auto"/>
        <w:rPr>
          <w:rFonts w:hint="eastAsia" w:ascii="Times New Roman" w:hAnsi="Times New Roman" w:eastAsia="宋体"/>
          <w:kern w:val="0"/>
          <w:sz w:val="24"/>
          <w:szCs w:val="24"/>
          <w:lang w:val="en-US" w:eastAsia="zh-CN"/>
        </w:rPr>
      </w:pP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8</w:t>
      </w:r>
      <w:r>
        <w:rPr>
          <w:rFonts w:ascii="Times New Roman" w:hAnsi="Times New Roman"/>
          <w:sz w:val="24"/>
          <w:szCs w:val="24"/>
        </w:rPr>
        <w:t>月</w:t>
      </w:r>
      <w:r>
        <w:rPr>
          <w:rFonts w:hint="eastAsia" w:ascii="Times New Roman" w:hAnsi="Times New Roman"/>
          <w:sz w:val="24"/>
          <w:szCs w:val="24"/>
          <w:lang w:val="en-US" w:eastAsia="zh-CN"/>
        </w:rPr>
        <w:t>8</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8</w:t>
      </w:r>
      <w:r>
        <w:rPr>
          <w:rFonts w:hint="eastAsia" w:ascii="Times New Roman" w:hAnsi="Times New Roman"/>
          <w:sz w:val="24"/>
          <w:szCs w:val="24"/>
        </w:rPr>
        <w:t>月</w:t>
      </w:r>
      <w:r>
        <w:rPr>
          <w:rFonts w:hint="eastAsia" w:ascii="Times New Roman" w:hAnsi="Times New Roman"/>
          <w:sz w:val="24"/>
          <w:szCs w:val="24"/>
          <w:lang w:val="en-US" w:eastAsia="zh-CN"/>
        </w:rPr>
        <w:t>10</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2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8</w:t>
      </w:r>
      <w:r>
        <w:rPr>
          <w:rFonts w:ascii="Times New Roman" w:hAnsi="Times New Roman"/>
          <w:sz w:val="24"/>
          <w:szCs w:val="24"/>
        </w:rPr>
        <w:t>月</w:t>
      </w:r>
      <w:r>
        <w:rPr>
          <w:rFonts w:hint="eastAsia" w:ascii="Times New Roman" w:hAnsi="Times New Roman"/>
          <w:sz w:val="24"/>
          <w:szCs w:val="24"/>
          <w:lang w:val="en-US" w:eastAsia="zh-CN"/>
        </w:rPr>
        <w:t>15</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2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w:t>
      </w:r>
      <w:r>
        <w:rPr>
          <w:rFonts w:hint="eastAsia" w:ascii="Times New Roman" w:hAnsi="Times New Roman"/>
          <w:kern w:val="0"/>
          <w:sz w:val="24"/>
          <w:szCs w:val="24"/>
          <w:lang w:eastAsia="zh-CN"/>
        </w:rPr>
        <w:t>项目</w:t>
      </w:r>
      <w:r>
        <w:rPr>
          <w:rFonts w:hint="eastAsia" w:ascii="Times New Roman" w:hAnsi="Times New Roman"/>
          <w:kern w:val="0"/>
          <w:sz w:val="24"/>
          <w:szCs w:val="24"/>
        </w:rPr>
        <w:t>名称。</w:t>
      </w:r>
    </w:p>
    <w:p>
      <w:pPr>
        <w:keepNext w:val="0"/>
        <w:keepLines w:val="0"/>
        <w:pageBreakBefore w:val="0"/>
        <w:widowControl/>
        <w:numPr>
          <w:ilvl w:val="0"/>
          <w:numId w:val="0"/>
        </w:numPr>
        <w:kinsoku/>
        <w:wordWrap/>
        <w:overflowPunct/>
        <w:topLinePunct w:val="0"/>
        <w:bidi w:val="0"/>
        <w:snapToGrid/>
        <w:spacing w:line="42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2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2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8</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15</w:t>
      </w:r>
      <w:r>
        <w:rPr>
          <w:rFonts w:ascii="Times New Roman" w:hAnsi="Times New Roman"/>
          <w:b w:val="0"/>
          <w:bCs/>
          <w:kern w:val="0"/>
          <w:sz w:val="24"/>
          <w:szCs w:val="24"/>
        </w:rPr>
        <w:t>日</w:t>
      </w:r>
      <w:r>
        <w:rPr>
          <w:rFonts w:hint="eastAsia" w:ascii="Times New Roman" w:hAnsi="Times New Roman"/>
          <w:b w:val="0"/>
          <w:bCs/>
          <w:kern w:val="0"/>
          <w:sz w:val="24"/>
          <w:szCs w:val="24"/>
          <w:lang w:val="en-US" w:eastAsia="zh-CN"/>
        </w:rPr>
        <w:t>15：0</w:t>
      </w:r>
      <w:r>
        <w:rPr>
          <w:rFonts w:ascii="Times New Roman" w:hAnsi="Times New Roman"/>
          <w:b w:val="0"/>
          <w:bCs/>
          <w:kern w:val="0"/>
          <w:sz w:val="24"/>
          <w:szCs w:val="24"/>
        </w:rPr>
        <w:t>0（北京时间）。</w:t>
      </w:r>
    </w:p>
    <w:p>
      <w:pPr>
        <w:pageBreakBefore w:val="0"/>
        <w:kinsoku/>
        <w:wordWrap/>
        <w:overflowPunct/>
        <w:topLinePunct w:val="0"/>
        <w:bidi w:val="0"/>
        <w:snapToGrid/>
        <w:spacing w:line="42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eastAsia="zh-CN"/>
        </w:rPr>
        <w:t>二楼</w:t>
      </w:r>
      <w:r>
        <w:rPr>
          <w:rFonts w:hint="eastAsia" w:ascii="Times New Roman" w:hAnsi="Times New Roman"/>
          <w:b w:val="0"/>
          <w:bCs/>
          <w:sz w:val="24"/>
          <w:szCs w:val="24"/>
        </w:rPr>
        <w:t>会议室</w:t>
      </w:r>
    </w:p>
    <w:p>
      <w:pPr>
        <w:pageBreakBefore w:val="0"/>
        <w:kinsoku/>
        <w:wordWrap/>
        <w:overflowPunct/>
        <w:topLinePunct w:val="0"/>
        <w:bidi w:val="0"/>
        <w:snapToGrid/>
        <w:spacing w:line="42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Style w:val="47"/>
        <w:pageBreakBefore w:val="0"/>
        <w:kinsoku/>
        <w:wordWrap/>
        <w:overflowPunct/>
        <w:topLinePunct w:val="0"/>
        <w:bidi w:val="0"/>
        <w:snapToGrid/>
        <w:spacing w:line="420" w:lineRule="exact"/>
        <w:ind w:left="0" w:leftChars="0" w:firstLine="0" w:firstLineChars="0"/>
        <w:contextualSpacing/>
        <w:textAlignment w:val="auto"/>
        <w:rPr>
          <w:rFonts w:hint="eastAsia" w:ascii="Times New Roman" w:hAnsi="Times New Roman" w:eastAsia="宋体"/>
          <w:b/>
          <w:kern w:val="0"/>
          <w:sz w:val="24"/>
          <w:szCs w:val="24"/>
          <w:lang w:eastAsia="zh-CN"/>
        </w:rPr>
      </w:pPr>
      <w:r>
        <w:rPr>
          <w:rFonts w:hint="eastAsia" w:ascii="Times New Roman" w:hAnsi="Times New Roman"/>
          <w:b/>
          <w:kern w:val="0"/>
          <w:sz w:val="24"/>
          <w:szCs w:val="24"/>
        </w:rPr>
        <w:t>十一、</w:t>
      </w:r>
      <w:r>
        <w:rPr>
          <w:rFonts w:hint="eastAsia" w:ascii="Times New Roman" w:hAnsi="Times New Roman"/>
          <w:b/>
          <w:bCs/>
          <w:sz w:val="24"/>
          <w:szCs w:val="24"/>
          <w:lang w:eastAsia="zh-CN"/>
        </w:rPr>
        <w:t>项目</w:t>
      </w:r>
      <w:r>
        <w:rPr>
          <w:rFonts w:hint="eastAsia"/>
          <w:b/>
          <w:bCs/>
          <w:sz w:val="24"/>
          <w:szCs w:val="24"/>
          <w:lang w:eastAsia="zh-CN"/>
        </w:rPr>
        <w:t>咨询</w:t>
      </w:r>
      <w:r>
        <w:rPr>
          <w:rFonts w:hint="eastAsia" w:ascii="Times New Roman" w:hAnsi="Times New Roman"/>
          <w:b/>
          <w:bCs/>
          <w:sz w:val="24"/>
          <w:szCs w:val="24"/>
          <w:lang w:eastAsia="zh-CN"/>
        </w:rPr>
        <w:t>及联系方式：</w:t>
      </w:r>
      <w:r>
        <w:rPr>
          <w:rFonts w:hint="eastAsia"/>
          <w:b w:val="0"/>
          <w:bCs w:val="0"/>
          <w:sz w:val="24"/>
          <w:szCs w:val="24"/>
          <w:lang w:eastAsia="zh-CN"/>
        </w:rPr>
        <w:t>严</w:t>
      </w:r>
      <w:r>
        <w:rPr>
          <w:rFonts w:hint="eastAsia"/>
          <w:sz w:val="24"/>
          <w:szCs w:val="24"/>
        </w:rPr>
        <w:t>老师</w:t>
      </w:r>
      <w:r>
        <w:rPr>
          <w:rFonts w:hint="eastAsia"/>
          <w:sz w:val="24"/>
          <w:szCs w:val="24"/>
          <w:lang w:val="en-US" w:eastAsia="zh-CN"/>
        </w:rPr>
        <w:t>-15982964992</w:t>
      </w:r>
    </w:p>
    <w:p>
      <w:pPr>
        <w:rPr>
          <w:rFonts w:ascii="Times New Roman" w:hAnsi="Times New Roman"/>
          <w:b/>
          <w:sz w:val="36"/>
          <w:szCs w:val="36"/>
        </w:rPr>
      </w:pPr>
      <w:bookmarkStart w:id="1" w:name="_Toc52036324"/>
      <w:r>
        <w:rPr>
          <w:rFonts w:ascii="Times New Roman" w:hAnsi="Times New Roman"/>
          <w:b/>
          <w:sz w:val="36"/>
          <w:szCs w:val="36"/>
        </w:rPr>
        <w:br w:type="page"/>
      </w:r>
    </w:p>
    <w:p>
      <w:pPr>
        <w:widowControl/>
        <w:spacing w:line="360" w:lineRule="auto"/>
        <w:jc w:val="center"/>
        <w:rPr>
          <w:rFonts w:ascii="Times New Roman" w:hAnsi="Times New Roman"/>
          <w:b/>
          <w:kern w:val="0"/>
          <w:sz w:val="30"/>
          <w:szCs w:val="30"/>
        </w:rPr>
      </w:pPr>
      <w:r>
        <w:rPr>
          <w:rFonts w:ascii="Times New Roman" w:hAnsi="Times New Roman"/>
          <w:b/>
          <w:sz w:val="30"/>
          <w:szCs w:val="30"/>
        </w:rPr>
        <w:t>第</w:t>
      </w:r>
      <w:r>
        <w:rPr>
          <w:rFonts w:hint="eastAsia" w:ascii="Times New Roman" w:hAnsi="Times New Roman"/>
          <w:b/>
          <w:sz w:val="30"/>
          <w:szCs w:val="30"/>
        </w:rPr>
        <w:t>二</w:t>
      </w:r>
      <w:r>
        <w:rPr>
          <w:rFonts w:ascii="Times New Roman" w:hAnsi="Times New Roman"/>
          <w:b/>
          <w:sz w:val="30"/>
          <w:szCs w:val="30"/>
        </w:rPr>
        <w:t>章  比选项目技术、服务、及其他商务要求</w:t>
      </w:r>
      <w:bookmarkEnd w:id="1"/>
    </w:p>
    <w:p>
      <w:pPr>
        <w:spacing w:line="360" w:lineRule="auto"/>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en-US" w:eastAsia="zh-CN"/>
        </w:rPr>
        <w:t>一、技术参数及要求</w:t>
      </w:r>
      <w:bookmarkStart w:id="2" w:name="_Toc233048245"/>
      <w:bookmarkStart w:id="3" w:name="_Toc350964160"/>
    </w:p>
    <w:tbl>
      <w:tblPr>
        <w:tblStyle w:val="24"/>
        <w:tblW w:w="10176" w:type="dxa"/>
        <w:tblInd w:w="93" w:type="dxa"/>
        <w:tblLayout w:type="fixed"/>
        <w:tblCellMar>
          <w:top w:w="0" w:type="dxa"/>
          <w:left w:w="108" w:type="dxa"/>
          <w:bottom w:w="0" w:type="dxa"/>
          <w:right w:w="108" w:type="dxa"/>
        </w:tblCellMar>
      </w:tblPr>
      <w:tblGrid>
        <w:gridCol w:w="474"/>
        <w:gridCol w:w="825"/>
        <w:gridCol w:w="8877"/>
      </w:tblGrid>
      <w:tr>
        <w:tblPrEx>
          <w:tblCellMar>
            <w:top w:w="0" w:type="dxa"/>
            <w:left w:w="108" w:type="dxa"/>
            <w:bottom w:w="0" w:type="dxa"/>
            <w:right w:w="108" w:type="dxa"/>
          </w:tblCellMar>
        </w:tblPrEx>
        <w:trPr>
          <w:trHeight w:val="285" w:hRule="atLeast"/>
        </w:trPr>
        <w:tc>
          <w:tcPr>
            <w:tcW w:w="474"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序号</w:t>
            </w:r>
          </w:p>
        </w:tc>
        <w:tc>
          <w:tcPr>
            <w:tcW w:w="825"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模块名称</w:t>
            </w:r>
          </w:p>
        </w:tc>
        <w:tc>
          <w:tcPr>
            <w:tcW w:w="8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软件系统总体情况</w:t>
            </w:r>
          </w:p>
        </w:tc>
      </w:tr>
      <w:tr>
        <w:tblPrEx>
          <w:tblCellMar>
            <w:top w:w="0" w:type="dxa"/>
            <w:left w:w="108" w:type="dxa"/>
            <w:bottom w:w="0" w:type="dxa"/>
            <w:right w:w="108" w:type="dxa"/>
          </w:tblCellMar>
        </w:tblPrEx>
        <w:trPr>
          <w:trHeight w:val="1335" w:hRule="atLeast"/>
        </w:trPr>
        <w:tc>
          <w:tcPr>
            <w:tcW w:w="474" w:type="dxa"/>
            <w:tcBorders>
              <w:top w:val="single" w:color="auto" w:sz="4" w:space="0"/>
              <w:left w:val="single" w:color="auto" w:sz="4" w:space="0"/>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总体</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要求</w:t>
            </w:r>
          </w:p>
        </w:tc>
        <w:tc>
          <w:tcPr>
            <w:tcW w:w="88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1.三级等保认证；</w:t>
            </w:r>
          </w:p>
          <w:p>
            <w:pPr>
              <w:pStyle w:val="2"/>
              <w:keepNext w:val="0"/>
              <w:keepLines w:val="0"/>
              <w:pageBreakBefore w:val="0"/>
              <w:kinsoku/>
              <w:wordWrap/>
              <w:overflowPunct/>
              <w:topLinePunct w:val="0"/>
              <w:autoSpaceDE/>
              <w:autoSpaceDN/>
              <w:bidi w:val="0"/>
              <w:adjustRightInd/>
              <w:snapToGrid/>
              <w:spacing w:line="300" w:lineRule="exact"/>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2.具备人工智能审核功能；</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★3.采用云数据库构建；</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4.采用C\S和B\S混合架构，兼顾安全性与使用便利性，非单独C\S 或 B\S架构；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5.客户端需支持WinXP、Win7、Win10各个操作系统；</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6.移动端需同时支持Android 和 IOS系统</w:t>
            </w:r>
            <w:r>
              <w:rPr>
                <w:rFonts w:hint="eastAsia" w:ascii="宋体" w:hAnsi="宋体" w:cs="宋体"/>
                <w:color w:val="000000" w:themeColor="text1"/>
                <w:kern w:val="0"/>
                <w:sz w:val="24"/>
                <w:szCs w:val="24"/>
                <w:lang w:eastAsia="zh-CN"/>
                <w14:textFill>
                  <w14:solidFill>
                    <w14:schemeClr w14:val="tx1"/>
                  </w14:solidFill>
                </w14:textFill>
              </w:rPr>
              <w:t>。</w:t>
            </w:r>
          </w:p>
        </w:tc>
      </w:tr>
      <w:tr>
        <w:tblPrEx>
          <w:tblCellMar>
            <w:top w:w="0" w:type="dxa"/>
            <w:left w:w="108" w:type="dxa"/>
            <w:bottom w:w="0" w:type="dxa"/>
            <w:right w:w="108" w:type="dxa"/>
          </w:tblCellMar>
        </w:tblPrEx>
        <w:trPr>
          <w:trHeight w:val="285" w:hRule="atLeast"/>
        </w:trPr>
        <w:tc>
          <w:tcPr>
            <w:tcW w:w="474" w:type="dxa"/>
            <w:tcBorders>
              <w:top w:val="nil"/>
              <w:left w:val="single" w:color="auto" w:sz="4" w:space="0"/>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b/>
                <w:color w:val="000000" w:themeColor="text1"/>
                <w:kern w:val="0"/>
                <w:sz w:val="24"/>
                <w:szCs w:val="24"/>
                <w14:textFill>
                  <w14:solidFill>
                    <w14:schemeClr w14:val="tx1"/>
                  </w14:solidFill>
                </w14:textFill>
              </w:rPr>
            </w:pPr>
          </w:p>
        </w:tc>
        <w:tc>
          <w:tcPr>
            <w:tcW w:w="825" w:type="dxa"/>
            <w:tcBorders>
              <w:top w:val="nil"/>
              <w:left w:val="single" w:color="auto" w:sz="4" w:space="0"/>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b/>
                <w:color w:val="000000" w:themeColor="text1"/>
                <w:kern w:val="0"/>
                <w:sz w:val="24"/>
                <w:szCs w:val="24"/>
                <w14:textFill>
                  <w14:solidFill>
                    <w14:schemeClr w14:val="tx1"/>
                  </w14:solidFill>
                </w14:textFill>
              </w:rPr>
            </w:pPr>
          </w:p>
        </w:tc>
        <w:tc>
          <w:tcPr>
            <w:tcW w:w="8877"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具体</w:t>
            </w:r>
            <w:r>
              <w:rPr>
                <w:rFonts w:hint="eastAsia" w:ascii="宋体" w:hAnsi="宋体" w:cs="宋体"/>
                <w:b/>
                <w:bCs/>
                <w:color w:val="000000" w:themeColor="text1"/>
                <w:sz w:val="24"/>
                <w:szCs w:val="24"/>
                <w14:textFill>
                  <w14:solidFill>
                    <w14:schemeClr w14:val="tx1"/>
                  </w14:solidFill>
                </w14:textFill>
              </w:rPr>
              <w:t>性能及参数要求</w:t>
            </w:r>
          </w:p>
        </w:tc>
      </w:tr>
      <w:tr>
        <w:tblPrEx>
          <w:tblCellMar>
            <w:top w:w="0" w:type="dxa"/>
            <w:left w:w="108" w:type="dxa"/>
            <w:bottom w:w="0" w:type="dxa"/>
            <w:right w:w="108" w:type="dxa"/>
          </w:tblCellMar>
        </w:tblPrEx>
        <w:trPr>
          <w:trHeight w:val="2249" w:hRule="atLeast"/>
        </w:trPr>
        <w:tc>
          <w:tcPr>
            <w:tcW w:w="474" w:type="dxa"/>
            <w:tcBorders>
              <w:top w:val="single" w:color="auto" w:sz="4"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1</w:t>
            </w:r>
          </w:p>
        </w:tc>
        <w:tc>
          <w:tcPr>
            <w:tcW w:w="825" w:type="dxa"/>
            <w:tcBorders>
              <w:top w:val="single" w:color="auto" w:sz="4"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患者签到称重功能</w:t>
            </w:r>
          </w:p>
        </w:tc>
        <w:tc>
          <w:tcPr>
            <w:tcW w:w="88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产品能够</w:t>
            </w:r>
            <w:r>
              <w:rPr>
                <w:rFonts w:hint="eastAsia" w:ascii="宋体" w:hAnsi="宋体" w:cs="宋体"/>
                <w:color w:val="000000" w:themeColor="text1"/>
                <w:sz w:val="24"/>
                <w:szCs w:val="24"/>
                <w14:textFill>
                  <w14:solidFill>
                    <w14:schemeClr w14:val="tx1"/>
                  </w14:solidFill>
                </w14:textFill>
              </w:rPr>
              <w:t>与</w:t>
            </w:r>
            <w:r>
              <w:rPr>
                <w:rFonts w:hint="eastAsia" w:ascii="宋体" w:hAnsi="宋体" w:cs="宋体"/>
                <w:bCs/>
                <w:color w:val="000000" w:themeColor="text1"/>
                <w:sz w:val="24"/>
                <w:szCs w:val="24"/>
                <w14:textFill>
                  <w14:solidFill>
                    <w14:schemeClr w14:val="tx1"/>
                  </w14:solidFill>
                </w14:textFill>
              </w:rPr>
              <w:t>带有输出串口的体重秤连接，实现</w:t>
            </w:r>
            <w:r>
              <w:rPr>
                <w:rFonts w:hint="eastAsia" w:ascii="宋体" w:hAnsi="宋体" w:cs="宋体"/>
                <w:color w:val="000000" w:themeColor="text1"/>
                <w:kern w:val="0"/>
                <w:sz w:val="24"/>
                <w:szCs w:val="24"/>
                <w14:textFill>
                  <w14:solidFill>
                    <w14:schemeClr w14:val="tx1"/>
                  </w14:solidFill>
                </w14:textFill>
              </w:rPr>
              <w:t>患者智能签到和称重功能，可同时具备刷卡和人脸识别方式。可以通过人脸识别后直接自动记录体重，无需医生手动记录；</w:t>
            </w:r>
            <w:r>
              <w:rPr>
                <w:rFonts w:hint="eastAsia" w:ascii="宋体" w:hAnsi="宋体" w:cs="宋体"/>
                <w:bCs/>
                <w:color w:val="000000" w:themeColor="text1"/>
                <w:sz w:val="24"/>
                <w:szCs w:val="24"/>
                <w14:textFill>
                  <w14:solidFill>
                    <w14:schemeClr w14:val="tx1"/>
                  </w14:solidFill>
                </w14:textFill>
              </w:rPr>
              <w:t>产品能够</w:t>
            </w:r>
            <w:r>
              <w:rPr>
                <w:rFonts w:hint="eastAsia" w:ascii="宋体" w:hAnsi="宋体" w:cs="宋体"/>
                <w:color w:val="000000" w:themeColor="text1"/>
                <w:sz w:val="24"/>
                <w:szCs w:val="24"/>
                <w14:textFill>
                  <w14:solidFill>
                    <w14:schemeClr w14:val="tx1"/>
                  </w14:solidFill>
                </w14:textFill>
              </w:rPr>
              <w:t>与</w:t>
            </w:r>
            <w:r>
              <w:rPr>
                <w:rFonts w:hint="eastAsia" w:ascii="宋体" w:hAnsi="宋体" w:cs="宋体"/>
                <w:bCs/>
                <w:color w:val="000000" w:themeColor="text1"/>
                <w:sz w:val="24"/>
                <w:szCs w:val="24"/>
                <w14:textFill>
                  <w14:solidFill>
                    <w14:schemeClr w14:val="tx1"/>
                  </w14:solidFill>
                </w14:textFill>
              </w:rPr>
              <w:t>带有输出串口的血压计连接，实现</w:t>
            </w:r>
            <w:r>
              <w:rPr>
                <w:rFonts w:hint="eastAsia" w:ascii="宋体" w:hAnsi="宋体" w:cs="宋体"/>
                <w:color w:val="000000" w:themeColor="text1"/>
                <w:kern w:val="0"/>
                <w:sz w:val="24"/>
                <w:szCs w:val="24"/>
                <w14:textFill>
                  <w14:solidFill>
                    <w14:schemeClr w14:val="tx1"/>
                  </w14:solidFill>
                </w14:textFill>
              </w:rPr>
              <w:t>患者智能血压录入功能，可同时使用刷卡和人脸识别方式，可以通过人脸识别后直接自动录入血压，无需医生手动记录。</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2．具备签到、称重语音播报功能；</w:t>
            </w:r>
          </w:p>
          <w:p>
            <w:pPr>
              <w:pStyle w:val="2"/>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▲3.具备患者在专用触摸显示设备上自助查询近期透析体重曲线、血压曲线、排班班次等信息，提升患者就诊体验和智能化程度</w:t>
            </w:r>
            <w:r>
              <w:rPr>
                <w:rFonts w:hint="eastAsia" w:ascii="宋体" w:hAnsi="宋体" w:cs="宋体"/>
                <w:color w:val="000000" w:themeColor="text1"/>
                <w:lang w:eastAsia="zh-CN"/>
                <w14:textFill>
                  <w14:solidFill>
                    <w14:schemeClr w14:val="tx1"/>
                  </w14:solidFill>
                </w14:textFill>
              </w:rPr>
              <w:t>。</w:t>
            </w:r>
          </w:p>
        </w:tc>
      </w:tr>
      <w:tr>
        <w:tblPrEx>
          <w:tblCellMar>
            <w:top w:w="0" w:type="dxa"/>
            <w:left w:w="108" w:type="dxa"/>
            <w:bottom w:w="0" w:type="dxa"/>
            <w:right w:w="108" w:type="dxa"/>
          </w:tblCellMar>
        </w:tblPrEx>
        <w:trPr>
          <w:trHeight w:val="285" w:hRule="atLeast"/>
        </w:trPr>
        <w:tc>
          <w:tcPr>
            <w:tcW w:w="474"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2</w:t>
            </w:r>
          </w:p>
        </w:tc>
        <w:tc>
          <w:tcPr>
            <w:tcW w:w="825"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大屏显示功能</w:t>
            </w:r>
          </w:p>
        </w:tc>
        <w:tc>
          <w:tcPr>
            <w:tcW w:w="88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1.具备家属等待区大屏显示功能可以显示当前患者透析状态，预计下机时间、患者宣教等信息；</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2.具备大屏幕显示功能，显示患者治疗状态；</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3.具备语音叫号功能，可以从任一安装了软件的平板上呼叫患者，在连接了电脑的大屏幕上显示并进行播报</w:t>
            </w:r>
            <w:r>
              <w:rPr>
                <w:rFonts w:hint="eastAsia" w:ascii="宋体" w:hAnsi="宋体" w:cs="宋体"/>
                <w:color w:val="000000" w:themeColor="text1"/>
                <w:kern w:val="0"/>
                <w:sz w:val="24"/>
                <w:szCs w:val="24"/>
                <w:lang w:eastAsia="zh-CN"/>
                <w14:textFill>
                  <w14:solidFill>
                    <w14:schemeClr w14:val="tx1"/>
                  </w14:solidFill>
                </w14:textFill>
              </w:rPr>
              <w:t>。</w:t>
            </w:r>
          </w:p>
        </w:tc>
      </w:tr>
      <w:tr>
        <w:tblPrEx>
          <w:tblCellMar>
            <w:top w:w="0" w:type="dxa"/>
            <w:left w:w="108" w:type="dxa"/>
            <w:bottom w:w="0" w:type="dxa"/>
            <w:right w:w="108" w:type="dxa"/>
          </w:tblCellMar>
        </w:tblPrEx>
        <w:trPr>
          <w:trHeight w:val="6232" w:hRule="atLeast"/>
        </w:trPr>
        <w:tc>
          <w:tcPr>
            <w:tcW w:w="474"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3</w:t>
            </w:r>
          </w:p>
        </w:tc>
        <w:tc>
          <w:tcPr>
            <w:tcW w:w="825"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排班管理功能</w:t>
            </w:r>
          </w:p>
        </w:tc>
        <w:tc>
          <w:tcPr>
            <w:tcW w:w="88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1.具备预约排班功能，能够对排班模板自动进行复制，并且随时可以编辑；排班模板可以进行查看，导入，导出excel格式和打印；只需要定义患者一周排几次，机器号，系统能自动排患者到相应位置；</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2.具备排班模板功能，可以自定义启用的模板个数，从1个到4个；</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3.预约排班和排班模板界面，均支持拖拽式排班、能快速替换，预约排班和排班模板可以互相导入；</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4.具备智能排班功能，可对多个模板一次性进行排班后保存，无需反复切换界面，多次保存；</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5.具备当班患者透析耗材和透析药品查看和打印功能、包括统计打印、针对患者的整体打印和标签打印；</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6.可以在排班表上查看每个患者的透析方式和透析器，并且可打印；</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具备排班推送功能，可以将本周和下周患者个人的排班信息发送到对应患者手机上，从而减轻护士工作量；</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7.具备医护排班功能，可以对医生、护士、进修生进行排班，并可将排班结果发送到任一医护手机上进行提醒；可以统计工作时间、休息时间等；</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8.具备透析预算功能，可以根据排班情况，自动列出未来自定义的一个时间段内患者的透析模式和透析次数；</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9.可设置权限，对每个医生护士进行排班权限设置，包括是否可以进入排班功能，是否可以对排班模板进行修改；</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10.具备排班智能审核功能</w:t>
            </w:r>
            <w:r>
              <w:rPr>
                <w:rFonts w:hint="eastAsia" w:ascii="宋体" w:hAnsi="宋体" w:cs="宋体"/>
                <w:color w:val="000000" w:themeColor="text1"/>
                <w:sz w:val="24"/>
                <w:szCs w:val="24"/>
                <w:lang w:eastAsia="zh-CN"/>
                <w14:textFill>
                  <w14:solidFill>
                    <w14:schemeClr w14:val="tx1"/>
                  </w14:solidFill>
                </w14:textFill>
              </w:rPr>
              <w:t>。</w:t>
            </w:r>
          </w:p>
        </w:tc>
      </w:tr>
      <w:tr>
        <w:tblPrEx>
          <w:tblCellMar>
            <w:top w:w="0" w:type="dxa"/>
            <w:left w:w="108" w:type="dxa"/>
            <w:bottom w:w="0" w:type="dxa"/>
            <w:right w:w="108" w:type="dxa"/>
          </w:tblCellMar>
        </w:tblPrEx>
        <w:trPr>
          <w:trHeight w:val="493" w:hRule="atLeast"/>
        </w:trPr>
        <w:tc>
          <w:tcPr>
            <w:tcW w:w="474"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4</w:t>
            </w:r>
          </w:p>
        </w:tc>
        <w:tc>
          <w:tcPr>
            <w:tcW w:w="825"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透析管理功能</w:t>
            </w:r>
          </w:p>
        </w:tc>
        <w:tc>
          <w:tcPr>
            <w:tcW w:w="88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1.具备患者透前、透后评估修改和确认功能；</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2.具备开始透析、透析监测和记录、结束透析等基本透析流程功能，</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透析监测包括以下记录内容：记录时间、透析液流量、血流量、静脉压、跨膜压、钠浓度、温度、超滤率、实时超滤量、心跳、脉搏、血压、症状和处理等；</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3.能够在每次透析后自动生成透析记录单，透析单格式有多种模板可选，并且可以根据医院要求进行调整；</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4.可以开具临时医嘱，长期医嘱，并可将长期医嘱推送到排班日期；具有医嘱模板，预设后方便今后快速开具医嘱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5.所有的透析记录单可进行电子保存，并可按照实际需要批量打印当日透析单 或选择日期批量打印历史透析单；</w:t>
            </w:r>
          </w:p>
          <w:p>
            <w:pPr>
              <w:pStyle w:val="2"/>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kern w:val="2"/>
                <w14:textFill>
                  <w14:solidFill>
                    <w14:schemeClr w14:val="tx1"/>
                  </w14:solidFill>
                </w14:textFill>
              </w:rPr>
              <w:t>6、每份透析单均可进行透析单智能审核，自动审查透析单存在的错误</w:t>
            </w:r>
            <w:r>
              <w:rPr>
                <w:rFonts w:hint="eastAsia" w:ascii="宋体" w:hAnsi="宋体" w:cs="宋体"/>
                <w:color w:val="000000" w:themeColor="text1"/>
                <w:kern w:val="2"/>
                <w:lang w:eastAsia="zh-CN"/>
                <w14:textFill>
                  <w14:solidFill>
                    <w14:schemeClr w14:val="tx1"/>
                  </w14:solidFill>
                </w14:textFill>
              </w:rPr>
              <w:t>。</w:t>
            </w:r>
          </w:p>
        </w:tc>
      </w:tr>
      <w:tr>
        <w:tblPrEx>
          <w:tblCellMar>
            <w:top w:w="0" w:type="dxa"/>
            <w:left w:w="108" w:type="dxa"/>
            <w:bottom w:w="0" w:type="dxa"/>
            <w:right w:w="108" w:type="dxa"/>
          </w:tblCellMar>
        </w:tblPrEx>
        <w:trPr>
          <w:trHeight w:val="5649" w:hRule="atLeast"/>
        </w:trPr>
        <w:tc>
          <w:tcPr>
            <w:tcW w:w="474"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5</w:t>
            </w:r>
          </w:p>
        </w:tc>
        <w:tc>
          <w:tcPr>
            <w:tcW w:w="825"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患者管理功能</w:t>
            </w:r>
          </w:p>
        </w:tc>
        <w:tc>
          <w:tcPr>
            <w:tcW w:w="88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1.具备患者详细信息填写、编辑功能，为每一位透析病人建立唯一识别号,包括姓名、性别、出生日期、年龄等详细信息等；</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2.具备患者干体重设置和调整功能，并有历史曲线用于辅助设置；</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3.具备患者血管通路设置和记录功能，每次修改都会进行记录，并记录到统计系统中；</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4.具备患者透析方式、透析处方和常用医嘱模板设置等功能，能显示在用和停用方案；</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5.具备患者转归功能和记录；</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6.具备患者详细实验室检查、辅助检查信息查看、统计、分析、定期检验提醒功能；</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7.可以筛选日期时间段，展示指定日期的透析记录列表，至少应包含患者透析日期、班次、机号、体重、血压、血管通路、超滤总量、透析器型号、抗凝剂使用、凝血情况等信息；</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8.具有病情记录功能，至少应包含病史、体格检查、病程记录、手术记录、复诊记录、死亡记录等功能模块，其中病史、病程记录应提供模板载入功能；</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9.具有完善的评估工具，包括跌倒评估、小儿跌倒评估、压疮风险评估、OH压疮评估、RASS及疼痛评估、营养状况评估、约束告知单、心理评估、瘙痒评估、Glasgow昏迷评分和肌力评估表等</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具有文书管理功能，可以上传各类知情同意书模板，自动载入患者基本信息后可打印。签字完成后，可以通过平板拍照方式记录；</w:t>
            </w:r>
          </w:p>
          <w:p>
            <w:pPr>
              <w:pStyle w:val="2"/>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10.点击患者头像可以进行患者智能风险评估，将近期风险因素罗列展示</w:t>
            </w:r>
            <w:r>
              <w:rPr>
                <w:rFonts w:hint="eastAsia" w:ascii="宋体" w:hAnsi="宋体" w:cs="宋体"/>
                <w:color w:val="000000" w:themeColor="text1"/>
                <w:lang w:eastAsia="zh-CN"/>
                <w14:textFill>
                  <w14:solidFill>
                    <w14:schemeClr w14:val="tx1"/>
                  </w14:solidFill>
                </w14:textFill>
              </w:rPr>
              <w:t>。</w:t>
            </w:r>
          </w:p>
        </w:tc>
      </w:tr>
      <w:tr>
        <w:tblPrEx>
          <w:tblCellMar>
            <w:top w:w="0" w:type="dxa"/>
            <w:left w:w="108" w:type="dxa"/>
            <w:bottom w:w="0" w:type="dxa"/>
            <w:right w:w="108" w:type="dxa"/>
          </w:tblCellMar>
        </w:tblPrEx>
        <w:trPr>
          <w:trHeight w:val="285" w:hRule="atLeast"/>
        </w:trPr>
        <w:tc>
          <w:tcPr>
            <w:tcW w:w="474"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6</w:t>
            </w:r>
          </w:p>
        </w:tc>
        <w:tc>
          <w:tcPr>
            <w:tcW w:w="82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耗材管理、药品管理功能</w:t>
            </w:r>
          </w:p>
        </w:tc>
        <w:tc>
          <w:tcPr>
            <w:tcW w:w="8877"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1.具备所有血透室耗材记录功能，包括透析器、血滤器、灌流器、管路等等，并且可以查看和打印详细历史记录；</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2.常用耗材如透析器、血滤器等可以与透析流程关联，实现自动消耗，无须人工出库；</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3.具备耗材库存预警和有效期到期预警功能；</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4.具有自备药管理功能，能统计自备药用量、剩余数量，并且可设置库存预警功能；</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5.自备药的使用可以和透析过程关联，实现自动消耗，无须人工出库；</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6.具有患者费用管理，可以设置不同透析模式的费用，患者每次透析完成后自动产生费用记录，并记录于患者的费用余额中，进行统计汇总；</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000000" w:themeColor="text1"/>
                <w:kern w:val="0"/>
                <w:sz w:val="24"/>
                <w:szCs w:val="24"/>
                <w:lang w:eastAsia="zh-CN"/>
                <w14:textFill>
                  <w14:solidFill>
                    <w14:schemeClr w14:val="tx1"/>
                  </w14:solidFill>
                </w14:textFill>
              </w:rPr>
            </w:pPr>
            <w:r>
              <w:rPr>
                <w:rFonts w:ascii="宋体" w:hAnsi="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7.耗材出库可以设置套餐，根据透析方式选择耗材出库套餐，无需逐项进行出库</w:t>
            </w:r>
            <w:r>
              <w:rPr>
                <w:rFonts w:hint="eastAsia" w:ascii="宋体" w:hAnsi="宋体" w:cs="宋体"/>
                <w:color w:val="000000" w:themeColor="text1"/>
                <w:kern w:val="0"/>
                <w:sz w:val="24"/>
                <w:szCs w:val="24"/>
                <w:lang w:eastAsia="zh-CN"/>
                <w14:textFill>
                  <w14:solidFill>
                    <w14:schemeClr w14:val="tx1"/>
                  </w14:solidFill>
                </w14:textFill>
              </w:rPr>
              <w:t>。</w:t>
            </w:r>
          </w:p>
        </w:tc>
      </w:tr>
      <w:tr>
        <w:tblPrEx>
          <w:tblCellMar>
            <w:top w:w="0" w:type="dxa"/>
            <w:left w:w="108" w:type="dxa"/>
            <w:bottom w:w="0" w:type="dxa"/>
            <w:right w:w="108" w:type="dxa"/>
          </w:tblCellMar>
        </w:tblPrEx>
        <w:trPr>
          <w:trHeight w:val="4670" w:hRule="atLeast"/>
        </w:trPr>
        <w:tc>
          <w:tcPr>
            <w:tcW w:w="474"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7</w:t>
            </w:r>
          </w:p>
        </w:tc>
        <w:tc>
          <w:tcPr>
            <w:tcW w:w="82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移动端患者管理功能</w:t>
            </w:r>
          </w:p>
        </w:tc>
        <w:tc>
          <w:tcPr>
            <w:tcW w:w="8877"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1.在平板上可以实现患者的详细电子病历管理，包括基本信息、血管通路在用和停用记录、详细透析记录、透析病程记录等；</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2.在平板能查看患者历史长期医嘱记录，并可进行长期医嘱推送；</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平板上能编辑患者的病程记录，可编辑模板，快速从模板导入，导入后可修改。病程记录填写时支持快速导入最近180天以内的各项检验结果、支持导入180天以内的患者血压、干体重；</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3.能在平板上进行患者信息建档，录入干体重、透析方案、病程记录、病史等各项进行；</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4.能在平板记录患者的首透病程、日常病程、查房记录、阶段小结、手术记录、死亡记录、出院记录、输血记录等信息；</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5.具备肾科临床工具，包括肾小球滤过率、BMI、体表面积、KT/V、蛋白分解率、内生肌酐清除率、肾衰指数、血透-残肾尿素清除率、校正钙浓度等计算公式，方便随时计算；</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6.支持手动录入患者检验结果、对接导入结果、拍照上传三种方式，可以在平板上查看任一检验结果，并可查看数据变化曲线图</w:t>
            </w:r>
            <w:r>
              <w:rPr>
                <w:rFonts w:hint="eastAsia" w:ascii="宋体" w:hAnsi="宋体" w:cs="宋体"/>
                <w:color w:val="000000" w:themeColor="text1"/>
                <w:kern w:val="0"/>
                <w:sz w:val="24"/>
                <w:szCs w:val="24"/>
                <w:lang w:eastAsia="zh-CN"/>
                <w14:textFill>
                  <w14:solidFill>
                    <w14:schemeClr w14:val="tx1"/>
                  </w14:solidFill>
                </w14:textFill>
              </w:rPr>
              <w:t>。</w:t>
            </w:r>
          </w:p>
        </w:tc>
      </w:tr>
      <w:tr>
        <w:tblPrEx>
          <w:tblCellMar>
            <w:top w:w="0" w:type="dxa"/>
            <w:left w:w="108" w:type="dxa"/>
            <w:bottom w:w="0" w:type="dxa"/>
            <w:right w:w="108" w:type="dxa"/>
          </w:tblCellMar>
        </w:tblPrEx>
        <w:trPr>
          <w:trHeight w:val="7864" w:hRule="atLeast"/>
        </w:trPr>
        <w:tc>
          <w:tcPr>
            <w:tcW w:w="474"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8</w:t>
            </w:r>
          </w:p>
        </w:tc>
        <w:tc>
          <w:tcPr>
            <w:tcW w:w="825"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科室质控分析功能</w:t>
            </w:r>
          </w:p>
        </w:tc>
        <w:tc>
          <w:tcPr>
            <w:tcW w:w="88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1.具备患者基本信息的统计分类，包括免疫学类型、血管通路类、转归统计等；</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2.对于治疗项目HD，HDF，HP等类型的相关统计分析；</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3.具备患者长期干体重变化趋势，血压变化趋势查看和分析等；</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4.具有耗材出入库、使用等统计分析功能；</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5.具备各类实验室检查项目的统计分析功能，如血常规对比分析、</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支持各类质控达标的过程监测，查询达标率和完成率；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6.具备科室工作量统计分析，能查询每个工作人员的工作量；</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具备决策分析模块，可以对患者进行贫血管理，自动将血红蛋白在不同区间的患者进行分类显示，并标记出近期变化趋势，可显示曲线图。医生在查看后还可以进行标记状态，从而方便快速调整患者用药方案；</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8.可以对患者进行容量管理，自动将患者的平均超滤率进行分类显示，从低到高依次展示，从而快速发现哪些患者的容量管理有问题，给出针对性治疗方案；</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9.可以对患者进行自动营养分析，根据白蛋白的范围对患者进行归类，并标记处最近的白蛋白变化趋势，查看后还可以对患者进行一键标记处理记录；</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10.可以对骨矿物质进行自动筛选，根据甲状旁腺激素的数值，自动对患者进行分类，方便医生快速处理不达标患者，并可一键标记处理结果；</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11.具备透析质量管理报告，可以自动统计科室容量管理、贫血管理、透析充分性管理、营养管理、矿物质管理等多方便的结果质量，提供包括结果人数、中位数、平均值、入院超90天等各项指标的汇总分析；</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质控KPI数据统计（SOP）。显示设定的质控KPI统计数据，新入透析患者传染病检验完成率；维持性透析患者检传染病检验完成率；维持性透析患者传染病发病率；</w:t>
            </w:r>
            <w:bookmarkStart w:id="4" w:name="OLE_LINK11"/>
            <w:bookmarkStart w:id="5" w:name="OLE_LINK10"/>
            <w:r>
              <w:rPr>
                <w:rFonts w:hint="eastAsia" w:ascii="宋体" w:hAnsi="宋体" w:cs="宋体"/>
                <w:color w:val="000000" w:themeColor="text1"/>
                <w:sz w:val="24"/>
                <w:szCs w:val="24"/>
                <w14:textFill>
                  <w14:solidFill>
                    <w14:schemeClr w14:val="tx1"/>
                  </w14:solidFill>
                </w14:textFill>
              </w:rPr>
              <w:t>KTV和URR完成率</w:t>
            </w:r>
            <w:bookmarkEnd w:id="4"/>
            <w:bookmarkEnd w:id="5"/>
            <w:r>
              <w:rPr>
                <w:rFonts w:hint="eastAsia" w:ascii="宋体" w:hAnsi="宋体" w:cs="宋体"/>
                <w:color w:val="000000" w:themeColor="text1"/>
                <w:sz w:val="24"/>
                <w:szCs w:val="24"/>
                <w14:textFill>
                  <w14:solidFill>
                    <w14:schemeClr w14:val="tx1"/>
                  </w14:solidFill>
                </w14:textFill>
              </w:rPr>
              <w:t>；KTV和URR控制率；β2微球蛋白完成率；患者体重增长分析；动静脉内瘘长期生存率；血常规完成率；铁五项完成率；电解质完成率；IPTH完成率；肝功能完成率；炎症指标完成率；血脂完成率；肾性贫血控制率；CKD-MBD控制率；血清白蛋白控制率；患者高血压控制率</w:t>
            </w:r>
            <w:r>
              <w:rPr>
                <w:rFonts w:hint="eastAsia" w:ascii="宋体" w:hAnsi="宋体" w:cs="宋体"/>
                <w:color w:val="000000" w:themeColor="text1"/>
                <w:sz w:val="24"/>
                <w:szCs w:val="24"/>
                <w:lang w:eastAsia="zh-CN"/>
                <w14:textFill>
                  <w14:solidFill>
                    <w14:schemeClr w14:val="tx1"/>
                  </w14:solidFill>
                </w14:textFill>
              </w:rPr>
              <w:t>。</w:t>
            </w:r>
          </w:p>
        </w:tc>
      </w:tr>
      <w:tr>
        <w:tblPrEx>
          <w:tblCellMar>
            <w:top w:w="0" w:type="dxa"/>
            <w:left w:w="108" w:type="dxa"/>
            <w:bottom w:w="0" w:type="dxa"/>
            <w:right w:w="108" w:type="dxa"/>
          </w:tblCellMar>
        </w:tblPrEx>
        <w:trPr>
          <w:trHeight w:val="9630" w:hRule="atLeast"/>
        </w:trPr>
        <w:tc>
          <w:tcPr>
            <w:tcW w:w="474"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9</w:t>
            </w:r>
          </w:p>
        </w:tc>
        <w:tc>
          <w:tcPr>
            <w:tcW w:w="825"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移动平板端功能</w:t>
            </w:r>
          </w:p>
        </w:tc>
        <w:tc>
          <w:tcPr>
            <w:tcW w:w="88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1.平板端可直观显示当前班次和区域患者，方便护士随时进行透前评估和透后评估，监测记录，症状和处理记录，医嘱执行等，并且随时可调整干体重；</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2.平板端护士所需要记录的患者症状和处理、透后凝血情况、内漏或导管情况、透后症状、并发症、透析后宣教等均提供选项功能，无须打字录入，特殊情况下可在需要编辑文字；</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平板端可以查看最近患者的透析详细记录，在日历上即可直观显示历史透析日期和时间、透析模式；并可直观看到已透析和未透析的区别；通过点击平板指定界面，可以快速查看患者近期的超滤变化曲线，体重变化曲线等；</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4.平板端可以查看检验结果、病程记录等医疗结果；</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5.平板端支持上传检验图片、支持查看检验结果、检验结果曲线图，并具备肾科临床工具，可以快速计算：肾小球滤过率、BMI、Kt/V、URR、肾衰指数、滤过钠排泄分数等；</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6.平板端支持医护人员设置电子签名，也可以让患者在治疗后签名并保存到透析单中，平板端支持修改个人密码；</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7.平板端可查看医护人员排班情况，了解个人排班时间；</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8.平板端可对患者进行各项评估，并与电脑同步；</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平板端支持查看患者的完整透析单，进行预览；还可以查看患者病历情况：可以快速浏览每一次透析记录，无需逐次打开透析记录，在一个界面即可对体重变化情况、血压情况、透析中症状情况、医嘱内容进行对比分析查看，并填写看法，并可以对患者添加关注；</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10.平板端具备健康教育功能，护士可对患者进行健康教育，系统自动展示教育内容，教育完成后患者可以进行签名后保存，并在系统中形成一条健康教育记录。</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11.平板端可以快速查看操作日志，了解关键操作是于几点几分，由哪个医生、护士完成，从而方便进行追踪；</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平板端具备决策分析功能，可以对贫血进行管理、患者容量进行管理，将患者血红蛋白进行快速分类，并标记指标上升或下降趋势，还可以显示曲线图，添加标记信息；并可对平均超滤率进行分类显示，标记上升和下降趋势，显示曲线图，并添加标记信息；</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13.可对患者进行排序，选择机位排序、也可以按签到顺序排序、住院-门诊排序、下机排序或者姓氏排序；也可以护士操作过的患者自动归类进入我的患者，实现跨区操作</w:t>
            </w:r>
            <w:r>
              <w:rPr>
                <w:rFonts w:hint="eastAsia" w:ascii="宋体" w:hAnsi="宋体" w:cs="宋体"/>
                <w:color w:val="000000" w:themeColor="text1"/>
                <w:kern w:val="0"/>
                <w:sz w:val="24"/>
                <w:szCs w:val="24"/>
                <w:lang w:eastAsia="zh-CN"/>
                <w14:textFill>
                  <w14:solidFill>
                    <w14:schemeClr w14:val="tx1"/>
                  </w14:solidFill>
                </w14:textFill>
              </w:rPr>
              <w:t>。</w:t>
            </w:r>
          </w:p>
        </w:tc>
      </w:tr>
      <w:tr>
        <w:tblPrEx>
          <w:tblCellMar>
            <w:top w:w="0" w:type="dxa"/>
            <w:left w:w="108" w:type="dxa"/>
            <w:bottom w:w="0" w:type="dxa"/>
            <w:right w:w="108" w:type="dxa"/>
          </w:tblCellMar>
        </w:tblPrEx>
        <w:trPr>
          <w:trHeight w:val="1235" w:hRule="atLeast"/>
        </w:trPr>
        <w:tc>
          <w:tcPr>
            <w:tcW w:w="474"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10</w:t>
            </w:r>
          </w:p>
        </w:tc>
        <w:tc>
          <w:tcPr>
            <w:tcW w:w="825"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设备管理功能</w:t>
            </w:r>
          </w:p>
        </w:tc>
        <w:tc>
          <w:tcPr>
            <w:tcW w:w="88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1.具有对血透机进行日常维护和登记功能；</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2.透析机在使用后能够根据预设的消毒方式，自动产生使用记录，记录内需包括使用患者，时间，消毒情况，维修记录情况等，且可以随时查询历史记录，并可打印；</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3.能够记录水质检测的结果，并可记录水机运行状态</w:t>
            </w:r>
            <w:r>
              <w:rPr>
                <w:rFonts w:hint="eastAsia" w:ascii="宋体" w:hAnsi="宋体" w:cs="宋体"/>
                <w:color w:val="000000" w:themeColor="text1"/>
                <w:kern w:val="0"/>
                <w:sz w:val="24"/>
                <w:szCs w:val="24"/>
                <w:lang w:eastAsia="zh-CN"/>
                <w14:textFill>
                  <w14:solidFill>
                    <w14:schemeClr w14:val="tx1"/>
                  </w14:solidFill>
                </w14:textFill>
              </w:rPr>
              <w:t>。</w:t>
            </w:r>
          </w:p>
        </w:tc>
      </w:tr>
      <w:tr>
        <w:tblPrEx>
          <w:tblCellMar>
            <w:top w:w="0" w:type="dxa"/>
            <w:left w:w="108" w:type="dxa"/>
            <w:bottom w:w="0" w:type="dxa"/>
            <w:right w:w="108" w:type="dxa"/>
          </w:tblCellMar>
        </w:tblPrEx>
        <w:trPr>
          <w:trHeight w:val="2250" w:hRule="atLeast"/>
        </w:trPr>
        <w:tc>
          <w:tcPr>
            <w:tcW w:w="4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11</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血管通路管理功能</w:t>
            </w:r>
          </w:p>
        </w:tc>
        <w:tc>
          <w:tcPr>
            <w:tcW w:w="88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1.穿刺位点标记功能：系统支持手机拍摄上传患者真实通路实照，可以对穿刺位点进行从1开始的数字编号，并可以选择各类标记信息，为下次穿刺提供指引。界面上可以直观查看历次穿刺信息及异常情况；</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2.具有血管通路时钟刻度指引功能，用于扣眼法穿刺的引导，可以在血管通路图上进行标记时钟刻度为进针方向，用A端/V端箭头表示；</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3.具备通路评估功能，穿刺管理功能、导管管理功能、并发症管理功能；</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4.通路发生的并发症，日常记录可通过模板快速选择，并可进行统计分析</w:t>
            </w:r>
            <w:r>
              <w:rPr>
                <w:rFonts w:hint="eastAsia" w:ascii="宋体" w:hAnsi="宋体" w:cs="宋体"/>
                <w:color w:val="000000" w:themeColor="text1"/>
                <w:kern w:val="0"/>
                <w:sz w:val="24"/>
                <w:szCs w:val="24"/>
                <w:lang w:eastAsia="zh-CN"/>
                <w14:textFill>
                  <w14:solidFill>
                    <w14:schemeClr w14:val="tx1"/>
                  </w14:solidFill>
                </w14:textFill>
              </w:rPr>
              <w:t>。</w:t>
            </w:r>
          </w:p>
        </w:tc>
      </w:tr>
    </w:tbl>
    <w:p>
      <w:pPr>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en-US" w:eastAsia="zh-CN"/>
        </w:rPr>
        <w:br w:type="page"/>
      </w:r>
    </w:p>
    <w:tbl>
      <w:tblPr>
        <w:tblStyle w:val="24"/>
        <w:tblpPr w:leftFromText="180" w:rightFromText="180" w:vertAnchor="text" w:horzAnchor="page" w:tblpX="1450" w:tblpY="496"/>
        <w:tblOverlap w:val="never"/>
        <w:tblW w:w="9936" w:type="dxa"/>
        <w:tblInd w:w="0" w:type="dxa"/>
        <w:tblLayout w:type="fixed"/>
        <w:tblCellMar>
          <w:top w:w="0" w:type="dxa"/>
          <w:left w:w="108" w:type="dxa"/>
          <w:bottom w:w="0" w:type="dxa"/>
          <w:right w:w="108" w:type="dxa"/>
        </w:tblCellMar>
      </w:tblPr>
      <w:tblGrid>
        <w:gridCol w:w="415"/>
        <w:gridCol w:w="1230"/>
        <w:gridCol w:w="585"/>
        <w:gridCol w:w="480"/>
        <w:gridCol w:w="7226"/>
      </w:tblGrid>
      <w:tr>
        <w:tblPrEx>
          <w:tblCellMar>
            <w:top w:w="0" w:type="dxa"/>
            <w:left w:w="108" w:type="dxa"/>
            <w:bottom w:w="0" w:type="dxa"/>
            <w:right w:w="108" w:type="dxa"/>
          </w:tblCellMar>
        </w:tblPrEx>
        <w:trPr>
          <w:trHeight w:val="270" w:hRule="atLeast"/>
        </w:trPr>
        <w:tc>
          <w:tcPr>
            <w:tcW w:w="993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对接服务参数</w:t>
            </w:r>
          </w:p>
        </w:tc>
      </w:tr>
      <w:tr>
        <w:tblPrEx>
          <w:tblCellMar>
            <w:top w:w="0" w:type="dxa"/>
            <w:left w:w="108" w:type="dxa"/>
            <w:bottom w:w="0" w:type="dxa"/>
            <w:right w:w="108" w:type="dxa"/>
          </w:tblCellMar>
        </w:tblPrEx>
        <w:trPr>
          <w:trHeight w:val="270" w:hRule="atLeast"/>
        </w:trPr>
        <w:tc>
          <w:tcPr>
            <w:tcW w:w="4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123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接口名称</w:t>
            </w:r>
          </w:p>
        </w:tc>
        <w:tc>
          <w:tcPr>
            <w:tcW w:w="58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数量</w:t>
            </w:r>
          </w:p>
        </w:tc>
        <w:tc>
          <w:tcPr>
            <w:tcW w:w="4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w:t>
            </w:r>
          </w:p>
        </w:tc>
        <w:tc>
          <w:tcPr>
            <w:tcW w:w="7226"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参数</w:t>
            </w:r>
          </w:p>
        </w:tc>
      </w:tr>
      <w:tr>
        <w:tblPrEx>
          <w:tblCellMar>
            <w:top w:w="0" w:type="dxa"/>
            <w:left w:w="108" w:type="dxa"/>
            <w:bottom w:w="0" w:type="dxa"/>
            <w:right w:w="108" w:type="dxa"/>
          </w:tblCellMar>
        </w:tblPrEx>
        <w:trPr>
          <w:trHeight w:val="954" w:hRule="atLeast"/>
        </w:trPr>
        <w:tc>
          <w:tcPr>
            <w:tcW w:w="4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3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血液透析系统国家质控平台上报服务</w:t>
            </w:r>
          </w:p>
        </w:tc>
        <w:tc>
          <w:tcPr>
            <w:tcW w:w="58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4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w:t>
            </w:r>
          </w:p>
        </w:tc>
        <w:tc>
          <w:tcPr>
            <w:tcW w:w="7226" w:type="dxa"/>
            <w:tcBorders>
              <w:top w:val="nil"/>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1.患者信息：基本情况，既往病史，透析状态，诊断信息上传；</w:t>
            </w:r>
          </w:p>
          <w:p>
            <w:pPr>
              <w:pStyle w:val="23"/>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2.血管通路：患者当前默认到处方的通路信息；</w:t>
            </w:r>
          </w:p>
          <w:p>
            <w:pPr>
              <w:pStyle w:val="23"/>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3.透析处方：根据医生对患者制定的透析方案与结合透析管理中，患者的透析记录实际获取；</w:t>
            </w:r>
          </w:p>
          <w:p>
            <w:pPr>
              <w:pStyle w:val="23"/>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4.抗凝剂:取患者透析方案中抗凝剂，方案变动时以透析记录中的抗凝剂为准；</w:t>
            </w:r>
          </w:p>
          <w:p>
            <w:pPr>
              <w:pStyle w:val="23"/>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5.干体重:取干体重，当前季度最新一条干体重信息；</w:t>
            </w:r>
          </w:p>
          <w:p>
            <w:pPr>
              <w:pStyle w:val="23"/>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6.血压:取患者每月第一次透析的透前/透后血压值；</w:t>
            </w:r>
          </w:p>
          <w:p>
            <w:pPr>
              <w:pStyle w:val="23"/>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7.透析充分性:对接检验检查中记录的 ktv 项目，透前/后尿素，超滤量，患者身高；</w:t>
            </w:r>
          </w:p>
          <w:p>
            <w:pPr>
              <w:pStyle w:val="23"/>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8.实验室检查：分别获取检验检查中对应项目的数据，导出整合处理后批量上传到质控系统对应模块；</w:t>
            </w:r>
          </w:p>
          <w:p>
            <w:pPr>
              <w:pStyle w:val="23"/>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9.实现国家质控系统上报服务，患者的所有的数据包括个人信息，诊断，透析方案，干体重，血压，检验结果。每季度按时上传到全国血液净化病例信息登记系统，可根据需求调整对接项目。</w:t>
            </w:r>
          </w:p>
        </w:tc>
      </w:tr>
      <w:tr>
        <w:tblPrEx>
          <w:tblCellMar>
            <w:top w:w="0" w:type="dxa"/>
            <w:left w:w="108" w:type="dxa"/>
            <w:bottom w:w="0" w:type="dxa"/>
            <w:right w:w="108" w:type="dxa"/>
          </w:tblCellMar>
        </w:tblPrEx>
        <w:trPr>
          <w:trHeight w:val="270" w:hRule="atLeast"/>
        </w:trPr>
        <w:tc>
          <w:tcPr>
            <w:tcW w:w="4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23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患者基本信息对接</w:t>
            </w:r>
          </w:p>
        </w:tc>
        <w:tc>
          <w:tcPr>
            <w:tcW w:w="58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4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套</w:t>
            </w:r>
          </w:p>
        </w:tc>
        <w:tc>
          <w:tcPr>
            <w:tcW w:w="7226"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1.通过平台接口方式获取数据，用于医院HIS患者信息的数据同步；</w:t>
            </w:r>
          </w:p>
          <w:p>
            <w:pPr>
              <w:pStyle w:val="2"/>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2.通过读取身份证/患者姓名/（住院号或门诊号）来获取患者信息；</w:t>
            </w:r>
          </w:p>
        </w:tc>
      </w:tr>
      <w:tr>
        <w:tblPrEx>
          <w:tblCellMar>
            <w:top w:w="0" w:type="dxa"/>
            <w:left w:w="108" w:type="dxa"/>
            <w:bottom w:w="0" w:type="dxa"/>
            <w:right w:w="108" w:type="dxa"/>
          </w:tblCellMar>
        </w:tblPrEx>
        <w:trPr>
          <w:trHeight w:val="1570" w:hRule="atLeast"/>
        </w:trPr>
        <w:tc>
          <w:tcPr>
            <w:tcW w:w="4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23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Lis患者化验数据对接</w:t>
            </w:r>
          </w:p>
        </w:tc>
        <w:tc>
          <w:tcPr>
            <w:tcW w:w="58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4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套</w:t>
            </w:r>
          </w:p>
        </w:tc>
        <w:tc>
          <w:tcPr>
            <w:tcW w:w="7226"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1.血透系统通过身份证号或者住院门诊去抓取对应血透系统患者数据；</w:t>
            </w:r>
          </w:p>
          <w:p>
            <w:pPr>
              <w:pStyle w:val="23"/>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2.远程到提供的前置机，安装部署对接视图/接口相应的环境和服务，对接定时任务一般定在凌晨后抓取前一天的患者数据，上传到血透系统；</w:t>
            </w:r>
          </w:p>
          <w:p>
            <w:pPr>
              <w:pStyle w:val="23"/>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3.对接上传对应患者血透数据到患者管理-检验检查对应项目和日期；</w:t>
            </w:r>
          </w:p>
          <w:p>
            <w:pPr>
              <w:pStyle w:val="23"/>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4.采用平台接口方式对接获取</w:t>
            </w:r>
            <w:r>
              <w:rPr>
                <w:rFonts w:hint="eastAsia" w:ascii="宋体" w:hAnsi="宋体" w:cs="宋体"/>
                <w:color w:val="000000" w:themeColor="text1"/>
                <w:sz w:val="24"/>
                <w:szCs w:val="24"/>
                <w:lang w:eastAsia="zh-CN"/>
                <w14:textFill>
                  <w14:solidFill>
                    <w14:schemeClr w14:val="tx1"/>
                  </w14:solidFill>
                </w14:textFill>
              </w:rPr>
              <w:t>。</w:t>
            </w:r>
          </w:p>
        </w:tc>
      </w:tr>
      <w:tr>
        <w:tblPrEx>
          <w:tblCellMar>
            <w:top w:w="0" w:type="dxa"/>
            <w:left w:w="108" w:type="dxa"/>
            <w:bottom w:w="0" w:type="dxa"/>
            <w:right w:w="108" w:type="dxa"/>
          </w:tblCellMar>
        </w:tblPrEx>
        <w:trPr>
          <w:trHeight w:val="1400" w:hRule="atLeast"/>
        </w:trPr>
        <w:tc>
          <w:tcPr>
            <w:tcW w:w="4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23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医嘱数据对接(集成平台)</w:t>
            </w:r>
          </w:p>
        </w:tc>
        <w:tc>
          <w:tcPr>
            <w:tcW w:w="58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4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套</w:t>
            </w:r>
          </w:p>
        </w:tc>
        <w:tc>
          <w:tcPr>
            <w:tcW w:w="7226"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1.采用平台接口方式对接获取；</w:t>
            </w:r>
          </w:p>
          <w:p>
            <w:pPr>
              <w:pStyle w:val="2"/>
              <w:keepNext w:val="0"/>
              <w:keepLines w:val="0"/>
              <w:pageBreakBefore w:val="0"/>
              <w:widowControl/>
              <w:numPr>
                <w:ilvl w:val="0"/>
                <w:numId w:val="1"/>
              </w:numPr>
              <w:kinsoku/>
              <w:wordWrap/>
              <w:overflowPunct/>
              <w:topLinePunct w:val="0"/>
              <w:autoSpaceDE/>
              <w:autoSpaceDN/>
              <w:bidi w:val="0"/>
              <w:adjustRightInd/>
              <w:snapToGrid/>
              <w:spacing w:line="300" w:lineRule="exac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获取平台医嘱用药信息到透析记录单的临时医嘱；</w:t>
            </w:r>
          </w:p>
          <w:p>
            <w:pPr>
              <w:pStyle w:val="23"/>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3.获取平台对接的药品目录到科室职工对应，用药间隔字典，药品字典，用法字典，项目字典</w:t>
            </w:r>
            <w:r>
              <w:rPr>
                <w:rFonts w:hint="eastAsia" w:ascii="宋体" w:hAnsi="宋体" w:cs="宋体"/>
                <w:color w:val="000000" w:themeColor="text1"/>
                <w:sz w:val="24"/>
                <w:szCs w:val="24"/>
                <w:lang w:eastAsia="zh-CN"/>
                <w14:textFill>
                  <w14:solidFill>
                    <w14:schemeClr w14:val="tx1"/>
                  </w14:solidFill>
                </w14:textFill>
              </w:rPr>
              <w:t>。</w:t>
            </w:r>
          </w:p>
        </w:tc>
      </w:tr>
      <w:tr>
        <w:tblPrEx>
          <w:tblCellMar>
            <w:top w:w="0" w:type="dxa"/>
            <w:left w:w="108" w:type="dxa"/>
            <w:bottom w:w="0" w:type="dxa"/>
            <w:right w:w="108" w:type="dxa"/>
          </w:tblCellMar>
        </w:tblPrEx>
        <w:trPr>
          <w:trHeight w:val="993" w:hRule="atLeast"/>
        </w:trPr>
        <w:tc>
          <w:tcPr>
            <w:tcW w:w="4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23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CA电子签名对接</w:t>
            </w:r>
          </w:p>
        </w:tc>
        <w:tc>
          <w:tcPr>
            <w:tcW w:w="58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4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套</w:t>
            </w:r>
          </w:p>
        </w:tc>
        <w:tc>
          <w:tcPr>
            <w:tcW w:w="7226"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1.需透析管理或移动端归档患者透析单后会生成一张需要治疗护士、治疗医生签名的pdf文件传到CA签署平台，用户使用CA平台帐号登录签署文件；</w:t>
            </w:r>
          </w:p>
          <w:p>
            <w:pPr>
              <w:pStyle w:val="2"/>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2.通过his工号进行关联匹配</w:t>
            </w:r>
            <w:r>
              <w:rPr>
                <w:rFonts w:hint="eastAsia" w:ascii="宋体" w:hAnsi="宋体" w:cs="宋体"/>
                <w:color w:val="000000" w:themeColor="text1"/>
                <w:sz w:val="24"/>
                <w:szCs w:val="24"/>
                <w:lang w:eastAsia="zh-CN"/>
                <w14:textFill>
                  <w14:solidFill>
                    <w14:schemeClr w14:val="tx1"/>
                  </w14:solidFill>
                </w14:textFill>
              </w:rPr>
              <w:t>。</w:t>
            </w:r>
          </w:p>
        </w:tc>
      </w:tr>
    </w:tbl>
    <w:p>
      <w:pPr>
        <w:spacing w:line="360" w:lineRule="auto"/>
        <w:rPr>
          <w:rFonts w:hint="eastAsia" w:asciiTheme="minorEastAsia" w:hAnsiTheme="minorEastAsia" w:eastAsiaTheme="minorEastAsia"/>
          <w:b/>
          <w:kern w:val="0"/>
          <w:sz w:val="28"/>
          <w:szCs w:val="28"/>
          <w:lang w:val="en-US" w:eastAsia="zh-CN"/>
        </w:rPr>
      </w:pPr>
      <w:r>
        <w:rPr>
          <w:color w:val="000000" w:themeColor="text1"/>
          <w:kern w:val="0"/>
          <w:sz w:val="24"/>
          <w:szCs w:val="24"/>
          <w14:textFill>
            <w14:solidFill>
              <w14:schemeClr w14:val="tx1"/>
            </w14:solidFill>
          </w14:textFill>
        </w:rPr>
        <w:br w:type="page"/>
      </w:r>
      <w:r>
        <w:rPr>
          <w:rFonts w:hint="eastAsia" w:asciiTheme="minorEastAsia" w:hAnsiTheme="minorEastAsia" w:eastAsiaTheme="minorEastAsia"/>
          <w:b/>
          <w:kern w:val="0"/>
          <w:sz w:val="28"/>
          <w:szCs w:val="28"/>
          <w:lang w:val="en-US" w:eastAsia="zh-CN"/>
        </w:rPr>
        <w:t>二、商务要求</w:t>
      </w:r>
    </w:p>
    <w:p>
      <w:pPr>
        <w:spacing w:line="360" w:lineRule="auto"/>
        <w:ind w:firstLine="482" w:firstLineChars="200"/>
        <w:rPr>
          <w:color w:val="000000" w:themeColor="text1"/>
          <w:kern w:val="0"/>
          <w:sz w:val="24"/>
          <w:szCs w:val="24"/>
          <w14:textFill>
            <w14:solidFill>
              <w14:schemeClr w14:val="tx1"/>
            </w14:solidFill>
          </w14:textFill>
        </w:rPr>
      </w:pPr>
      <w:bookmarkStart w:id="6" w:name="_Toc520455383"/>
      <w:bookmarkStart w:id="7" w:name="_Toc52036325"/>
      <w:r>
        <w:rPr>
          <w:b/>
          <w:bCs/>
          <w:color w:val="000000" w:themeColor="text1"/>
          <w:kern w:val="0"/>
          <w:sz w:val="24"/>
          <w:szCs w:val="24"/>
          <w14:textFill>
            <w14:solidFill>
              <w14:schemeClr w14:val="tx1"/>
            </w14:solidFill>
          </w14:textFill>
        </w:rPr>
        <w:t>服务期限</w:t>
      </w:r>
      <w:r>
        <w:rPr>
          <w:rFonts w:hint="eastAsia"/>
          <w:b/>
          <w:bCs/>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安装验收合格之日起</w:t>
      </w:r>
      <w:r>
        <w:rPr>
          <w:rFonts w:hint="eastAsia"/>
          <w:color w:val="000000" w:themeColor="text1"/>
          <w:kern w:val="0"/>
          <w:sz w:val="24"/>
          <w:szCs w:val="24"/>
          <w:lang w:val="en-US" w:eastAsia="zh-CN"/>
          <w14:textFill>
            <w14:solidFill>
              <w14:schemeClr w14:val="tx1"/>
            </w14:solidFill>
          </w14:textFill>
        </w:rPr>
        <w:t>3</w:t>
      </w:r>
      <w:r>
        <w:rPr>
          <w:color w:val="000000" w:themeColor="text1"/>
          <w:kern w:val="0"/>
          <w:sz w:val="24"/>
          <w:szCs w:val="24"/>
          <w14:textFill>
            <w14:solidFill>
              <w14:schemeClr w14:val="tx1"/>
            </w14:solidFill>
          </w14:textFill>
        </w:rPr>
        <w:t>年</w:t>
      </w:r>
      <w:r>
        <w:rPr>
          <w:rFonts w:hint="eastAsia"/>
          <w:color w:val="000000" w:themeColor="text1"/>
          <w:kern w:val="0"/>
          <w:sz w:val="24"/>
          <w:szCs w:val="24"/>
          <w14:textFill>
            <w14:solidFill>
              <w14:schemeClr w14:val="tx1"/>
            </w14:solidFill>
          </w14:textFill>
        </w:rPr>
        <w:t>。</w:t>
      </w:r>
    </w:p>
    <w:p>
      <w:pPr>
        <w:spacing w:line="360" w:lineRule="auto"/>
        <w:ind w:firstLine="482" w:firstLineChars="200"/>
        <w:rPr>
          <w:color w:val="000000" w:themeColor="text1"/>
          <w:kern w:val="0"/>
          <w:sz w:val="24"/>
          <w:szCs w:val="24"/>
          <w14:textFill>
            <w14:solidFill>
              <w14:schemeClr w14:val="tx1"/>
            </w14:solidFill>
          </w14:textFill>
        </w:rPr>
      </w:pPr>
      <w:r>
        <w:rPr>
          <w:rFonts w:hint="eastAsia"/>
          <w:b/>
          <w:bCs/>
          <w:color w:val="000000" w:themeColor="text1"/>
          <w:kern w:val="0"/>
          <w:sz w:val="24"/>
          <w:szCs w:val="24"/>
          <w14:textFill>
            <w14:solidFill>
              <w14:schemeClr w14:val="tx1"/>
            </w14:solidFill>
          </w14:textFill>
        </w:rPr>
        <w:t>一</w:t>
      </w:r>
      <w:r>
        <w:rPr>
          <w:rFonts w:hint="eastAsia"/>
          <w:b/>
          <w:bCs/>
          <w:color w:val="000000" w:themeColor="text1"/>
          <w:kern w:val="0"/>
          <w:sz w:val="24"/>
          <w:szCs w:val="24"/>
          <w14:textFill>
            <w14:solidFill>
              <w14:schemeClr w14:val="tx1"/>
            </w14:solidFill>
          </w14:textFill>
        </w:rPr>
        <w:tab/>
      </w:r>
      <w:r>
        <w:rPr>
          <w:rFonts w:hint="eastAsia"/>
          <w:b/>
          <w:bCs/>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自合同签订起对接服务45个工作日内完成，血透软件在服务期内，系统定期更新，持续提供更多更新的功能和服务。</w:t>
      </w:r>
    </w:p>
    <w:p>
      <w:pPr>
        <w:spacing w:line="360" w:lineRule="auto"/>
        <w:ind w:firstLine="482" w:firstLineChars="200"/>
        <w:rPr>
          <w:rFonts w:hint="eastAsia"/>
          <w:b/>
          <w:bCs/>
          <w:color w:val="000000" w:themeColor="text1"/>
          <w:kern w:val="0"/>
          <w:sz w:val="24"/>
          <w:szCs w:val="24"/>
          <w14:textFill>
            <w14:solidFill>
              <w14:schemeClr w14:val="tx1"/>
            </w14:solidFill>
          </w14:textFill>
        </w:rPr>
      </w:pPr>
      <w:r>
        <w:rPr>
          <w:rFonts w:hint="eastAsia"/>
          <w:b/>
          <w:bCs/>
          <w:color w:val="000000" w:themeColor="text1"/>
          <w:kern w:val="0"/>
          <w:sz w:val="24"/>
          <w:szCs w:val="24"/>
          <w14:textFill>
            <w14:solidFill>
              <w14:schemeClr w14:val="tx1"/>
            </w14:solidFill>
          </w14:textFill>
        </w:rPr>
        <w:t>二、验收标准和方法</w:t>
      </w:r>
    </w:p>
    <w:p>
      <w:pPr>
        <w:spacing w:line="360" w:lineRule="auto"/>
        <w:ind w:firstLine="480" w:firstLineChars="20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结合采购方实际情况，中标方必须拟定详细的系统实施计划，含软件的搭建、测试、试运行、培训及上线计划。承诺保证在合同规定时间内上线，及上线的软件系统和提供的硬件设备的正常使用和稳定运行。2.本次采购的项目在完成并运一个月后进行系统验收，验收人员由我院相关人员与中标方相关人员共同组成，验收结果双方主管人员签字认可，存档留作验收时参考。</w:t>
      </w:r>
    </w:p>
    <w:p>
      <w:pPr>
        <w:spacing w:line="360" w:lineRule="auto"/>
        <w:ind w:firstLine="482" w:firstLineChars="200"/>
        <w:rPr>
          <w:rFonts w:hint="eastAsia"/>
          <w:b/>
          <w:bCs/>
          <w:color w:val="000000" w:themeColor="text1"/>
          <w:kern w:val="0"/>
          <w:sz w:val="24"/>
          <w:szCs w:val="24"/>
          <w14:textFill>
            <w14:solidFill>
              <w14:schemeClr w14:val="tx1"/>
            </w14:solidFill>
          </w14:textFill>
        </w:rPr>
      </w:pPr>
      <w:r>
        <w:rPr>
          <w:rFonts w:hint="eastAsia"/>
          <w:b/>
          <w:bCs/>
          <w:color w:val="000000" w:themeColor="text1"/>
          <w:kern w:val="0"/>
          <w:sz w:val="24"/>
          <w:szCs w:val="24"/>
          <w14:textFill>
            <w14:solidFill>
              <w14:schemeClr w14:val="tx1"/>
            </w14:solidFill>
          </w14:textFill>
        </w:rPr>
        <w:t>三、培训要求</w:t>
      </w:r>
    </w:p>
    <w:p>
      <w:pPr>
        <w:spacing w:line="360" w:lineRule="auto"/>
        <w:ind w:firstLine="480" w:firstLineChars="20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培训对象包括系统管理员、管理人员、操作员，系统管理人员培训内容为系统中涉及的相关技术内容;管理人员培训内容为系统流程和相关管理思想；操作员为系统的操作培训。</w:t>
      </w:r>
    </w:p>
    <w:p>
      <w:pPr>
        <w:spacing w:line="360" w:lineRule="auto"/>
        <w:ind w:firstLine="482" w:firstLineChars="200"/>
        <w:rPr>
          <w:rFonts w:hint="eastAsia"/>
          <w:b/>
          <w:bCs/>
          <w:color w:val="000000" w:themeColor="text1"/>
          <w:kern w:val="0"/>
          <w:sz w:val="24"/>
          <w:szCs w:val="24"/>
          <w14:textFill>
            <w14:solidFill>
              <w14:schemeClr w14:val="tx1"/>
            </w14:solidFill>
          </w14:textFill>
        </w:rPr>
      </w:pPr>
      <w:r>
        <w:rPr>
          <w:rFonts w:hint="eastAsia"/>
          <w:b/>
          <w:bCs/>
          <w:color w:val="000000" w:themeColor="text1"/>
          <w:kern w:val="0"/>
          <w:sz w:val="24"/>
          <w:szCs w:val="24"/>
          <w14:textFill>
            <w14:solidFill>
              <w14:schemeClr w14:val="tx1"/>
            </w14:solidFill>
          </w14:textFill>
        </w:rPr>
        <w:t>四、售后服务</w:t>
      </w:r>
    </w:p>
    <w:p>
      <w:pPr>
        <w:spacing w:line="360" w:lineRule="auto"/>
        <w:ind w:firstLine="480" w:firstLineChars="20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售后服务实时响应，解决系统使用相关问题，包含电话、网络 （常规服务每周 7 个工作日，每天12小时，约定的每周服务时间范围内 2 个小时内响应，常规性、一般性问题12小时内解决；紧急问题24小时随时响应和处理）。如远程无法解决的问题，将提供现场服务支持。</w:t>
      </w:r>
    </w:p>
    <w:p>
      <w:pPr>
        <w:spacing w:line="360" w:lineRule="auto"/>
        <w:ind w:firstLine="482" w:firstLineChars="200"/>
        <w:rPr>
          <w:rFonts w:hint="eastAsia"/>
          <w:b/>
          <w:bCs/>
          <w:color w:val="000000" w:themeColor="text1"/>
          <w:kern w:val="0"/>
          <w:sz w:val="24"/>
          <w:szCs w:val="24"/>
          <w14:textFill>
            <w14:solidFill>
              <w14:schemeClr w14:val="tx1"/>
            </w14:solidFill>
          </w14:textFill>
        </w:rPr>
      </w:pPr>
      <w:r>
        <w:rPr>
          <w:rFonts w:hint="eastAsia"/>
          <w:b/>
          <w:bCs/>
          <w:color w:val="000000" w:themeColor="text1"/>
          <w:kern w:val="0"/>
          <w:sz w:val="24"/>
          <w:szCs w:val="24"/>
          <w14:textFill>
            <w14:solidFill>
              <w14:schemeClr w14:val="tx1"/>
            </w14:solidFill>
          </w14:textFill>
        </w:rPr>
        <w:t>五、付款方式</w:t>
      </w:r>
    </w:p>
    <w:p>
      <w:pPr>
        <w:spacing w:line="360" w:lineRule="auto"/>
        <w:ind w:firstLine="480" w:firstLineChars="200"/>
        <w:rPr>
          <w:rFonts w:hint="eastAsia" w:ascii="宋体" w:hAnsi="宋体"/>
          <w:b/>
          <w:bCs/>
          <w:color w:val="000000" w:themeColor="text1"/>
          <w:sz w:val="28"/>
          <w:szCs w:val="28"/>
          <w14:textFill>
            <w14:solidFill>
              <w14:schemeClr w14:val="tx1"/>
            </w14:solidFill>
          </w14:textFill>
        </w:rPr>
      </w:pPr>
      <w:r>
        <w:rPr>
          <w:rFonts w:hint="eastAsia"/>
          <w:color w:val="000000" w:themeColor="text1"/>
          <w:kern w:val="0"/>
          <w:sz w:val="24"/>
          <w:szCs w:val="24"/>
          <w14:textFill>
            <w14:solidFill>
              <w14:schemeClr w14:val="tx1"/>
            </w14:solidFill>
          </w14:textFill>
        </w:rPr>
        <w:t>安装验收合格后</w:t>
      </w:r>
      <w:r>
        <w:rPr>
          <w:color w:val="000000" w:themeColor="text1"/>
          <w:kern w:val="0"/>
          <w:sz w:val="24"/>
          <w:szCs w:val="24"/>
          <w14:textFill>
            <w14:solidFill>
              <w14:schemeClr w14:val="tx1"/>
            </w14:solidFill>
          </w14:textFill>
        </w:rPr>
        <w:t>30个工作日</w:t>
      </w:r>
      <w:r>
        <w:rPr>
          <w:rFonts w:hint="eastAsia"/>
          <w:color w:val="000000" w:themeColor="text1"/>
          <w:kern w:val="0"/>
          <w:sz w:val="24"/>
          <w:szCs w:val="24"/>
          <w14:textFill>
            <w14:solidFill>
              <w14:schemeClr w14:val="tx1"/>
            </w14:solidFill>
          </w14:textFill>
        </w:rPr>
        <w:t>内支付合同总金额的</w:t>
      </w:r>
      <w:r>
        <w:rPr>
          <w:color w:val="000000" w:themeColor="text1"/>
          <w:kern w:val="0"/>
          <w:sz w:val="24"/>
          <w:szCs w:val="24"/>
          <w14:textFill>
            <w14:solidFill>
              <w14:schemeClr w14:val="tx1"/>
            </w14:solidFill>
          </w14:textFill>
        </w:rPr>
        <w:t>80</w:t>
      </w:r>
      <w:r>
        <w:rPr>
          <w:rFonts w:hint="eastAsia"/>
          <w:color w:val="000000" w:themeColor="text1"/>
          <w:kern w:val="0"/>
          <w:sz w:val="24"/>
          <w:szCs w:val="24"/>
          <w14:textFill>
            <w14:solidFill>
              <w14:schemeClr w14:val="tx1"/>
            </w14:solidFill>
          </w14:textFill>
        </w:rPr>
        <w:t>%，服务期结束后3</w:t>
      </w:r>
      <w:r>
        <w:rPr>
          <w:color w:val="000000" w:themeColor="text1"/>
          <w:kern w:val="0"/>
          <w:sz w:val="24"/>
          <w:szCs w:val="24"/>
          <w14:textFill>
            <w14:solidFill>
              <w14:schemeClr w14:val="tx1"/>
            </w14:solidFill>
          </w14:textFill>
        </w:rPr>
        <w:t>0个工作日内支付合同总金额的20</w:t>
      </w:r>
      <w:r>
        <w:rPr>
          <w:rFonts w:hint="eastAsia"/>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b/>
          <w:bCs/>
          <w:kern w:val="0"/>
          <w:sz w:val="32"/>
          <w:szCs w:val="32"/>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bookmarkStart w:id="8" w:name="_Toc520455385"/>
    </w:p>
    <w:p>
      <w:pPr>
        <w:rPr>
          <w:rFonts w:hint="eastAsia" w:ascii="Times New Roman" w:hAnsi="Times New Roman"/>
          <w:b/>
          <w:bCs/>
          <w:color w:val="auto"/>
          <w:kern w:val="0"/>
          <w:sz w:val="32"/>
          <w:szCs w:val="32"/>
        </w:rPr>
      </w:pPr>
      <w:r>
        <w:rPr>
          <w:rFonts w:hint="eastAsia" w:ascii="Times New Roman" w:hAnsi="Times New Roman"/>
          <w:b/>
          <w:bCs/>
          <w:color w:val="auto"/>
          <w:kern w:val="0"/>
          <w:sz w:val="32"/>
          <w:szCs w:val="32"/>
        </w:rPr>
        <w:br w:type="page"/>
      </w:r>
    </w:p>
    <w:p>
      <w:pPr>
        <w:widowControl/>
        <w:spacing w:line="360" w:lineRule="auto"/>
        <w:jc w:val="center"/>
        <w:rPr>
          <w:rFonts w:ascii="Times New Roman" w:hAnsi="Times New Roman"/>
          <w:b/>
          <w:sz w:val="30"/>
          <w:szCs w:val="30"/>
        </w:rPr>
      </w:pPr>
      <w:r>
        <w:rPr>
          <w:rFonts w:hint="eastAsia" w:ascii="Times New Roman" w:hAnsi="Times New Roman"/>
          <w:b/>
          <w:sz w:val="30"/>
          <w:szCs w:val="30"/>
        </w:rPr>
        <w:t>第</w:t>
      </w:r>
      <w:r>
        <w:rPr>
          <w:rFonts w:hint="eastAsia" w:ascii="Times New Roman" w:hAnsi="Times New Roman"/>
          <w:b/>
          <w:sz w:val="30"/>
          <w:szCs w:val="30"/>
          <w:lang w:eastAsia="zh-CN"/>
        </w:rPr>
        <w:t>三</w:t>
      </w:r>
      <w:r>
        <w:rPr>
          <w:rFonts w:hint="eastAsia" w:ascii="Times New Roman" w:hAnsi="Times New Roman"/>
          <w:b/>
          <w:sz w:val="30"/>
          <w:szCs w:val="30"/>
        </w:rPr>
        <w:t>章 评标与定标</w:t>
      </w:r>
    </w:p>
    <w:p>
      <w:pPr>
        <w:keepNext w:val="0"/>
        <w:keepLines w:val="0"/>
        <w:pageBreakBefore w:val="0"/>
        <w:widowControl/>
        <w:kinsoku/>
        <w:wordWrap/>
        <w:overflowPunct/>
        <w:topLinePunct w:val="0"/>
        <w:autoSpaceDE/>
        <w:autoSpaceDN/>
        <w:bidi w:val="0"/>
        <w:adjustRightInd w:val="0"/>
        <w:snapToGrid w:val="0"/>
        <w:spacing w:line="300" w:lineRule="exact"/>
        <w:ind w:firstLine="480" w:firstLineChars="200"/>
        <w:jc w:val="left"/>
        <w:textAlignment w:val="auto"/>
        <w:rPr>
          <w:rFonts w:hint="eastAsia" w:ascii="Times New Roman" w:hAnsi="Times New Roman"/>
          <w:sz w:val="36"/>
          <w:szCs w:val="36"/>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bCs w:val="0"/>
          <w:color w:val="auto"/>
          <w:kern w:val="0"/>
          <w:sz w:val="24"/>
          <w:szCs w:val="20"/>
          <w:lang w:eastAsia="zh-CN"/>
        </w:rPr>
        <w:t>符合资格供应商不足</w:t>
      </w:r>
      <w:r>
        <w:rPr>
          <w:rFonts w:hint="eastAsia" w:ascii="Times New Roman" w:hAnsi="Times New Roman"/>
          <w:b/>
          <w:bCs w:val="0"/>
          <w:color w:val="auto"/>
          <w:kern w:val="0"/>
          <w:sz w:val="24"/>
          <w:szCs w:val="20"/>
          <w:lang w:val="en-US" w:eastAsia="zh-CN"/>
        </w:rPr>
        <w:t>3家，不予评审</w:t>
      </w:r>
      <w:r>
        <w:rPr>
          <w:rFonts w:hint="eastAsia" w:ascii="Times New Roman" w:hAnsi="Times New Roman"/>
          <w:b/>
          <w:bCs w:val="0"/>
          <w:color w:val="auto"/>
          <w:kern w:val="0"/>
          <w:sz w:val="24"/>
          <w:szCs w:val="20"/>
          <w:lang w:eastAsia="zh-CN"/>
        </w:rPr>
        <w:t>。</w:t>
      </w:r>
      <w:bookmarkEnd w:id="8"/>
    </w:p>
    <w:tbl>
      <w:tblPr>
        <w:tblStyle w:val="24"/>
        <w:tblW w:w="10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882"/>
        <w:gridCol w:w="600"/>
        <w:gridCol w:w="5625"/>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28"/>
              <w:jc w:val="center"/>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28"/>
              <w:jc w:val="center"/>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评分因素及权重</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28"/>
              <w:jc w:val="center"/>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分值</w:t>
            </w:r>
          </w:p>
        </w:tc>
        <w:tc>
          <w:tcPr>
            <w:tcW w:w="5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28"/>
              <w:jc w:val="center"/>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评分标准</w:t>
            </w: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28"/>
              <w:jc w:val="center"/>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jc w:val="center"/>
              <w:textAlignment w:val="auto"/>
              <w:rPr>
                <w:rFonts w:ascii="宋体" w:hAnsi="宋体" w:cs="Vrinda"/>
                <w:color w:val="000000" w:themeColor="text1"/>
                <w:szCs w:val="2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报价30%</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0分</w:t>
            </w:r>
          </w:p>
        </w:tc>
        <w:tc>
          <w:tcPr>
            <w:tcW w:w="5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60" w:lineRule="exact"/>
              <w:textAlignment w:val="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评标基准价=通过初步及价格评审的合格投标人有效报价的最低值</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报价得分=（评标基准价/投标报价）* 30* 100%</w:t>
            </w:r>
            <w:r>
              <w:rPr>
                <w:rFonts w:hint="eastAsia" w:ascii="宋体" w:hAnsi="宋体" w:cs="宋体"/>
                <w:color w:val="000000" w:themeColor="text1"/>
                <w:kern w:val="0"/>
                <w:szCs w:val="21"/>
                <w:lang w:eastAsia="zh-CN"/>
                <w14:textFill>
                  <w14:solidFill>
                    <w14:schemeClr w14:val="tx1"/>
                  </w14:solidFill>
                </w14:textFill>
              </w:rPr>
              <w:t>。</w:t>
            </w: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88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ind w:left="241" w:hanging="240" w:hangingChars="100"/>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w:t>
            </w:r>
          </w:p>
          <w:p>
            <w:pPr>
              <w:keepNext w:val="0"/>
              <w:keepLines w:val="0"/>
              <w:pageBreakBefore w:val="0"/>
              <w:kinsoku/>
              <w:wordWrap/>
              <w:overflowPunct/>
              <w:topLinePunct w:val="0"/>
              <w:autoSpaceDE/>
              <w:autoSpaceDN/>
              <w:bidi w:val="0"/>
              <w:spacing w:line="260" w:lineRule="exact"/>
              <w:ind w:left="241" w:hanging="240" w:hangingChars="100"/>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评审</w:t>
            </w:r>
          </w:p>
          <w:p>
            <w:pPr>
              <w:keepNext w:val="0"/>
              <w:keepLines w:val="0"/>
              <w:pageBreakBefore w:val="0"/>
              <w:kinsoku/>
              <w:wordWrap/>
              <w:overflowPunct/>
              <w:topLinePunct w:val="0"/>
              <w:autoSpaceDE/>
              <w:autoSpaceDN/>
              <w:bidi w:val="0"/>
              <w:spacing w:line="260" w:lineRule="exact"/>
              <w:ind w:left="241" w:hanging="240" w:hangingChars="100"/>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标准</w:t>
            </w:r>
          </w:p>
          <w:p>
            <w:pPr>
              <w:keepNext w:val="0"/>
              <w:keepLines w:val="0"/>
              <w:pageBreakBefore w:val="0"/>
              <w:kinsoku/>
              <w:wordWrap/>
              <w:overflowPunct/>
              <w:topLinePunct w:val="0"/>
              <w:autoSpaceDE/>
              <w:autoSpaceDN/>
              <w:bidi w:val="0"/>
              <w:spacing w:line="260" w:lineRule="exact"/>
              <w:jc w:val="center"/>
              <w:textAlignment w:val="auto"/>
              <w:rPr>
                <w:rFonts w:ascii="宋体" w:hAnsi="宋体"/>
                <w:color w:val="000000" w:themeColor="text1"/>
                <w:szCs w:val="21"/>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w:t>
            </w:r>
          </w:p>
        </w:tc>
        <w:tc>
          <w:tcPr>
            <w:tcW w:w="6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4分</w:t>
            </w:r>
          </w:p>
        </w:tc>
        <w:tc>
          <w:tcPr>
            <w:tcW w:w="5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技术指标和配置以逐项累计扣分的方法进行评审，完全满足磋商文件要求得34分，带“</w:t>
            </w:r>
            <w:r>
              <w:rPr>
                <w:rFonts w:hint="eastAsia" w:ascii="仿宋_GB2312" w:hAnsi="宋体" w:eastAsia="仿宋_GB2312" w:cs="仿宋_GB2312"/>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”号参数每有1项负偏离的扣</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分；其余非星号参数每有1项负偏离的扣</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分；直到本项分数扣完为止。</w:t>
            </w: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hint="eastAsia" w:eastAsia="宋体"/>
                <w:color w:val="000000" w:themeColor="text1"/>
                <w:lang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技术评分因素</w:t>
            </w:r>
            <w:r>
              <w:rPr>
                <w:rFonts w:hint="eastAsia" w:ascii="宋体" w:hAnsi="宋体"/>
                <w:color w:val="000000" w:themeColor="text1"/>
                <w:sz w:val="22"/>
                <w:szCs w:val="22"/>
                <w:lang w:eastAsia="zh-CN"/>
                <w14:textFill>
                  <w14:solidFill>
                    <w14:schemeClr w14:val="tx1"/>
                  </w14:solidFill>
                </w14:textFill>
              </w:rPr>
              <w:t>，</w:t>
            </w:r>
            <w:r>
              <w:rPr>
                <w:rFonts w:hint="eastAsia" w:ascii="宋体" w:hAnsi="宋体"/>
                <w:color w:val="000000" w:themeColor="text1"/>
                <w:sz w:val="22"/>
                <w:szCs w:val="22"/>
                <w14:textFill>
                  <w14:solidFill>
                    <w14:schemeClr w14:val="tx1"/>
                  </w14:solidFill>
                </w14:textFill>
              </w:rPr>
              <w:t>注：“</w:t>
            </w:r>
            <w:r>
              <w:rPr>
                <w:rFonts w:hint="eastAsia" w:ascii="仿宋_GB2312" w:hAnsi="宋体" w:eastAsia="仿宋_GB2312" w:cs="仿宋_GB2312"/>
                <w:color w:val="000000" w:themeColor="text1"/>
                <w:szCs w:val="21"/>
                <w14:textFill>
                  <w14:solidFill>
                    <w14:schemeClr w14:val="tx1"/>
                  </w14:solidFill>
                </w14:textFill>
              </w:rPr>
              <w:t>▲</w:t>
            </w:r>
            <w:r>
              <w:rPr>
                <w:rFonts w:hint="eastAsia" w:ascii="宋体" w:hAnsi="宋体"/>
                <w:color w:val="000000" w:themeColor="text1"/>
                <w:sz w:val="22"/>
                <w:szCs w:val="22"/>
                <w14:textFill>
                  <w14:solidFill>
                    <w14:schemeClr w14:val="tx1"/>
                  </w14:solidFill>
                </w14:textFill>
              </w:rPr>
              <w:t>”号参数需提供系统佐证截图</w:t>
            </w:r>
            <w:r>
              <w:rPr>
                <w:rFonts w:hint="eastAsia" w:ascii="宋体" w:hAnsi="宋体"/>
                <w:color w:val="000000" w:themeColor="text1"/>
                <w:sz w:val="22"/>
                <w:szCs w:val="22"/>
                <w:lang w:eastAsia="zh-CN"/>
                <w14:textFill>
                  <w14:solidFill>
                    <w14:schemeClr w14:val="tx1"/>
                  </w14:solidFill>
                </w14:textFill>
              </w:rPr>
              <w:t>。</w:t>
            </w:r>
            <w:r>
              <w:rPr>
                <w:rFonts w:hint="eastAsia" w:ascii="宋体" w:hAnsi="宋体"/>
                <w:color w:val="000000" w:themeColor="text1"/>
                <w:sz w:val="22"/>
                <w:szCs w:val="22"/>
                <w14:textFill>
                  <w14:solidFill>
                    <w14:schemeClr w14:val="tx1"/>
                  </w14:solidFill>
                </w14:textFill>
              </w:rPr>
              <w:t>“★”号参数为必须响应，不允许偏离</w:t>
            </w:r>
            <w:r>
              <w:rPr>
                <w:rFonts w:hint="eastAsia" w:ascii="宋体" w:hAnsi="宋体"/>
                <w:color w:val="000000" w:themeColor="text1"/>
                <w:sz w:val="22"/>
                <w:szCs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3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p>
        </w:tc>
        <w:tc>
          <w:tcPr>
            <w:tcW w:w="88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textAlignment w:val="auto"/>
              <w:rPr>
                <w:rFonts w:ascii="宋体" w:hAnsi="宋体"/>
                <w:color w:val="000000" w:themeColor="text1"/>
                <w:szCs w:val="21"/>
                <w14:textFill>
                  <w14:solidFill>
                    <w14:schemeClr w14:val="tx1"/>
                  </w14:solidFill>
                </w14:textFill>
              </w:rPr>
            </w:pPr>
          </w:p>
        </w:tc>
        <w:tc>
          <w:tcPr>
            <w:tcW w:w="600" w:type="dxa"/>
            <w:tcBorders>
              <w:top w:val="single" w:color="auto" w:sz="4" w:space="0"/>
              <w:left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spacing w:line="260" w:lineRule="exact"/>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3分</w:t>
            </w:r>
          </w:p>
        </w:tc>
        <w:tc>
          <w:tcPr>
            <w:tcW w:w="5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为配合国家互联互通等级评审要求，投标人或生产厂商需提供相关血透系统参与医院互联互通评级相关证明，能提供参与互联互通四级及以上评审的得</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分，三级得1分，其余不得分。</w:t>
            </w: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hAnsi="宋体" w:eastAsia="宋体"/>
                <w:color w:val="000000" w:themeColor="text1"/>
                <w:sz w:val="22"/>
                <w:szCs w:val="22"/>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注：1、该医院血透项目合同及项目验收报告；2、国家卫生健康委统计信息中心颁布的医院过评证明；3、医院出具的血透参评证明</w:t>
            </w:r>
            <w:r>
              <w:rPr>
                <w:rFonts w:hint="eastAsia" w:ascii="宋体" w:hAnsi="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p>
        </w:tc>
        <w:tc>
          <w:tcPr>
            <w:tcW w:w="88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textAlignment w:val="auto"/>
              <w:rPr>
                <w:rFonts w:ascii="宋体" w:hAnsi="宋体"/>
                <w:color w:val="000000" w:themeColor="text1"/>
                <w:szCs w:val="21"/>
                <w14:textFill>
                  <w14:solidFill>
                    <w14:schemeClr w14:val="tx1"/>
                  </w14:solidFill>
                </w14:textFill>
              </w:rPr>
            </w:pPr>
          </w:p>
        </w:tc>
        <w:tc>
          <w:tcPr>
            <w:tcW w:w="600" w:type="dxa"/>
            <w:tcBorders>
              <w:top w:val="single" w:color="auto" w:sz="4" w:space="0"/>
              <w:left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spacing w:line="260" w:lineRule="exact"/>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3分</w:t>
            </w:r>
          </w:p>
        </w:tc>
        <w:tc>
          <w:tcPr>
            <w:tcW w:w="5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为配合国家电子病历等级评审要求，投标人或生产厂商需提供相关血透系统参与医院电子病历评级相关证明，能提供参与电子病历五级及以上证明的得</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分，四级得1分，其余不得分。</w:t>
            </w: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hAnsi="宋体" w:eastAsia="宋体"/>
                <w:color w:val="000000" w:themeColor="text1"/>
                <w:sz w:val="22"/>
                <w:szCs w:val="22"/>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注：1、该医院血透项目合同及项目验收报告；2、国家卫生健康委统计信息中心颁布的医院过评证明；3、医院出具的血透参评证明</w:t>
            </w:r>
            <w:r>
              <w:rPr>
                <w:rFonts w:hint="eastAsia" w:ascii="宋体" w:hAnsi="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p>
        </w:tc>
        <w:tc>
          <w:tcPr>
            <w:tcW w:w="88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textAlignment w:val="auto"/>
              <w:rPr>
                <w:rFonts w:ascii="宋体" w:hAnsi="宋体"/>
                <w:color w:val="000000" w:themeColor="text1"/>
                <w:szCs w:val="21"/>
                <w14:textFill>
                  <w14:solidFill>
                    <w14:schemeClr w14:val="tx1"/>
                  </w14:solidFill>
                </w14:textFill>
              </w:rPr>
            </w:pPr>
          </w:p>
        </w:tc>
        <w:tc>
          <w:tcPr>
            <w:tcW w:w="6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6分</w:t>
            </w:r>
          </w:p>
        </w:tc>
        <w:tc>
          <w:tcPr>
            <w:tcW w:w="5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为解决科室审核工作，投标人或生产厂商产品需具备相关智能审核功能，需实现透析单的智能审核及排班管理的智能审核功能，同时满足的得</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分，不满足不得分。</w:t>
            </w: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bookmarkStart w:id="50" w:name="_GoBack"/>
            <w:bookmarkEnd w:id="50"/>
            <w:r>
              <w:rPr>
                <w:rFonts w:hint="eastAsia" w:ascii="宋体" w:hAnsi="宋体"/>
                <w:color w:val="000000" w:themeColor="text1"/>
                <w:szCs w:val="21"/>
                <w14:textFill>
                  <w14:solidFill>
                    <w14:schemeClr w14:val="tx1"/>
                  </w14:solidFill>
                </w14:textFill>
              </w:rPr>
              <w:t>：需要相关功能截图佐证。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7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882"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商务因素评分标准</w:t>
            </w:r>
            <w:r>
              <w:rPr>
                <w:rFonts w:ascii="宋体" w:hAnsi="宋体"/>
                <w:color w:val="000000" w:themeColor="text1"/>
                <w:sz w:val="24"/>
                <w:szCs w:val="24"/>
                <w14:textFill>
                  <w14:solidFill>
                    <w14:schemeClr w14:val="tx1"/>
                  </w14:solidFill>
                </w14:textFill>
              </w:rPr>
              <w:t>17</w:t>
            </w:r>
            <w:r>
              <w:rPr>
                <w:rFonts w:hint="eastAsia" w:ascii="宋体" w:hAnsi="宋体"/>
                <w:color w:val="000000" w:themeColor="text1"/>
                <w:sz w:val="24"/>
                <w:szCs w:val="24"/>
                <w14:textFill>
                  <w14:solidFill>
                    <w14:schemeClr w14:val="tx1"/>
                  </w14:solidFill>
                </w14:textFill>
              </w:rPr>
              <w:t>%</w:t>
            </w:r>
          </w:p>
        </w:tc>
        <w:tc>
          <w:tcPr>
            <w:tcW w:w="600"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1分</w:t>
            </w:r>
          </w:p>
        </w:tc>
        <w:tc>
          <w:tcPr>
            <w:tcW w:w="5625" w:type="dxa"/>
            <w:tcBorders>
              <w:top w:val="single" w:color="auto" w:sz="4" w:space="0"/>
              <w:left w:val="single" w:color="auto" w:sz="4" w:space="0"/>
              <w:right w:val="single" w:color="auto" w:sz="4" w:space="0"/>
            </w:tcBorders>
            <w:vAlign w:val="center"/>
          </w:tcPr>
          <w:p>
            <w:pPr>
              <w:pStyle w:val="2"/>
              <w:keepNext w:val="0"/>
              <w:keepLines w:val="0"/>
              <w:pageBreakBefore w:val="0"/>
              <w:widowControl w:val="0"/>
              <w:tabs>
                <w:tab w:val="left" w:pos="312"/>
              </w:tabs>
              <w:kinsoku/>
              <w:wordWrap/>
              <w:overflowPunct/>
              <w:topLinePunct w:val="0"/>
              <w:autoSpaceDE/>
              <w:autoSpaceDN/>
              <w:bidi w:val="0"/>
              <w:spacing w:after="0" w:line="260" w:lineRule="exact"/>
              <w:jc w:val="both"/>
              <w:textAlignment w:val="auto"/>
              <w:rPr>
                <w:rFonts w:ascii="宋体" w:hAnsi="宋体" w:cs="宋体"/>
                <w:color w:val="000000" w:themeColor="text1"/>
                <w:sz w:val="21"/>
                <w:szCs w:val="18"/>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提供ISO9001</w:t>
            </w:r>
            <w:r>
              <w:rPr>
                <w:rFonts w:hint="eastAsia"/>
                <w:color w:val="000000" w:themeColor="text1"/>
                <w:kern w:val="2"/>
                <w:sz w:val="21"/>
                <w:szCs w:val="21"/>
                <w14:textFill>
                  <w14:solidFill>
                    <w14:schemeClr w14:val="tx1"/>
                  </w14:solidFill>
                </w14:textFill>
              </w:rPr>
              <w:t>质量管理体系认证证书,</w:t>
            </w:r>
            <w:r>
              <w:rPr>
                <w:rFonts w:hint="eastAsia" w:ascii="宋体" w:hAnsi="宋体"/>
                <w:color w:val="000000" w:themeColor="text1"/>
                <w:sz w:val="21"/>
                <w:szCs w:val="21"/>
                <w14:textFill>
                  <w14:solidFill>
                    <w14:schemeClr w14:val="tx1"/>
                  </w14:solidFill>
                </w14:textFill>
              </w:rPr>
              <w:t>得</w:t>
            </w: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分。</w:t>
            </w:r>
          </w:p>
        </w:tc>
        <w:tc>
          <w:tcPr>
            <w:tcW w:w="311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提供证书复印件加盖鲜章</w:t>
            </w:r>
            <w:r>
              <w:rPr>
                <w:rFonts w:hint="eastAsia" w:ascii="宋体" w:hAnsi="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p>
        </w:tc>
        <w:tc>
          <w:tcPr>
            <w:tcW w:w="88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textAlignment w:val="auto"/>
              <w:rPr>
                <w:rFonts w:ascii="宋体" w:hAnsi="宋体"/>
                <w:color w:val="000000" w:themeColor="text1"/>
                <w:szCs w:val="21"/>
                <w14:textFill>
                  <w14:solidFill>
                    <w14:schemeClr w14:val="tx1"/>
                  </w14:solidFill>
                </w14:textFill>
              </w:rPr>
            </w:pPr>
          </w:p>
        </w:tc>
        <w:tc>
          <w:tcPr>
            <w:tcW w:w="600"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1分</w:t>
            </w:r>
          </w:p>
        </w:tc>
        <w:tc>
          <w:tcPr>
            <w:tcW w:w="562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spacing w:line="260" w:lineRule="exact"/>
              <w:jc w:val="both"/>
              <w:textAlignment w:val="auto"/>
              <w:rPr>
                <w:rFonts w:ascii="宋体" w:hAnsi="宋体" w:cs="宋体"/>
                <w:color w:val="000000" w:themeColor="text1"/>
                <w:sz w:val="21"/>
                <w:szCs w:val="18"/>
                <w14:textFill>
                  <w14:solidFill>
                    <w14:schemeClr w14:val="tx1"/>
                  </w14:solidFill>
                </w14:textFill>
              </w:rPr>
            </w:pPr>
            <w:r>
              <w:rPr>
                <w:rFonts w:ascii="宋体" w:hAnsi="宋体"/>
                <w:color w:val="000000" w:themeColor="text1"/>
                <w:sz w:val="21"/>
                <w:szCs w:val="21"/>
                <w14:textFill>
                  <w14:solidFill>
                    <w14:schemeClr w14:val="tx1"/>
                  </w14:solidFill>
                </w14:textFill>
              </w:rPr>
              <w:t>提供ISO27001信息安全认证证书</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得1分</w:t>
            </w:r>
            <w:r>
              <w:rPr>
                <w:rFonts w:hint="eastAsia" w:ascii="宋体" w:hAnsi="宋体"/>
                <w:color w:val="000000" w:themeColor="text1"/>
                <w:sz w:val="21"/>
                <w:szCs w:val="21"/>
                <w14:textFill>
                  <w14:solidFill>
                    <w14:schemeClr w14:val="tx1"/>
                  </w14:solidFill>
                </w14:textFill>
              </w:rPr>
              <w:t>。</w:t>
            </w: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提供证书复印件加盖鲜章</w:t>
            </w:r>
            <w:r>
              <w:rPr>
                <w:rFonts w:hint="eastAsia" w:ascii="宋体" w:hAnsi="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p>
        </w:tc>
        <w:tc>
          <w:tcPr>
            <w:tcW w:w="88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textAlignment w:val="auto"/>
              <w:rPr>
                <w:rFonts w:ascii="宋体" w:hAnsi="宋体"/>
                <w:color w:val="000000" w:themeColor="text1"/>
                <w:szCs w:val="21"/>
                <w14:textFill>
                  <w14:solidFill>
                    <w14:schemeClr w14:val="tx1"/>
                  </w14:solidFill>
                </w14:textFill>
              </w:rPr>
            </w:pPr>
          </w:p>
        </w:tc>
        <w:tc>
          <w:tcPr>
            <w:tcW w:w="600"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1分</w:t>
            </w:r>
          </w:p>
        </w:tc>
        <w:tc>
          <w:tcPr>
            <w:tcW w:w="562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tabs>
                <w:tab w:val="left" w:pos="312"/>
              </w:tabs>
              <w:kinsoku/>
              <w:wordWrap/>
              <w:overflowPunct/>
              <w:topLinePunct w:val="0"/>
              <w:autoSpaceDE/>
              <w:autoSpaceDN/>
              <w:bidi w:val="0"/>
              <w:spacing w:after="0" w:line="260" w:lineRule="exact"/>
              <w:jc w:val="both"/>
              <w:textAlignment w:val="auto"/>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团队组成成员有软件工程师证书</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得1分</w:t>
            </w:r>
            <w:r>
              <w:rPr>
                <w:rFonts w:hint="eastAsia" w:ascii="宋体" w:hAnsi="宋体"/>
                <w:color w:val="000000" w:themeColor="text1"/>
                <w:sz w:val="21"/>
                <w:szCs w:val="21"/>
                <w14:textFill>
                  <w14:solidFill>
                    <w14:schemeClr w14:val="tx1"/>
                  </w14:solidFill>
                </w14:textFill>
              </w:rPr>
              <w:t>。</w:t>
            </w: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提供证书复印件加盖鲜章</w:t>
            </w:r>
            <w:r>
              <w:rPr>
                <w:rFonts w:hint="eastAsia" w:ascii="宋体" w:hAnsi="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p>
        </w:tc>
        <w:tc>
          <w:tcPr>
            <w:tcW w:w="88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textAlignment w:val="auto"/>
              <w:rPr>
                <w:rFonts w:ascii="宋体" w:hAnsi="宋体"/>
                <w:color w:val="000000" w:themeColor="text1"/>
                <w:szCs w:val="21"/>
                <w14:textFill>
                  <w14:solidFill>
                    <w14:schemeClr w14:val="tx1"/>
                  </w14:solidFill>
                </w14:textFill>
              </w:rPr>
            </w:pPr>
          </w:p>
        </w:tc>
        <w:tc>
          <w:tcPr>
            <w:tcW w:w="600"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6分</w:t>
            </w:r>
          </w:p>
        </w:tc>
        <w:tc>
          <w:tcPr>
            <w:tcW w:w="5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312"/>
              </w:tabs>
              <w:kinsoku/>
              <w:wordWrap/>
              <w:overflowPunct/>
              <w:topLinePunct w:val="0"/>
              <w:autoSpaceDE/>
              <w:autoSpaceDN/>
              <w:bidi w:val="0"/>
              <w:spacing w:line="260" w:lineRule="exact"/>
              <w:textAlignment w:val="auto"/>
              <w:rPr>
                <w:rFonts w:ascii="宋体" w:hAnsi="宋体" w:cs="宋体"/>
                <w:color w:val="000000" w:themeColor="text1"/>
                <w:szCs w:val="18"/>
                <w14:textFill>
                  <w14:solidFill>
                    <w14:schemeClr w14:val="tx1"/>
                  </w14:solidFill>
                </w14:textFill>
              </w:rPr>
            </w:pPr>
            <w:r>
              <w:rPr>
                <w:rFonts w:hint="eastAsia"/>
                <w:color w:val="000000" w:themeColor="text1"/>
                <w:szCs w:val="21"/>
                <w14:textFill>
                  <w14:solidFill>
                    <w14:schemeClr w14:val="tx1"/>
                  </w14:solidFill>
                </w14:textFill>
              </w:rPr>
              <w:t>供应商或软件厂商具有</w:t>
            </w:r>
            <w:r>
              <w:rPr>
                <w:rStyle w:val="79"/>
                <w:rFonts w:hint="default"/>
                <w:color w:val="000000" w:themeColor="text1"/>
                <w:sz w:val="21"/>
                <w:szCs w:val="18"/>
                <w14:textFill>
                  <w14:solidFill>
                    <w14:schemeClr w14:val="tx1"/>
                  </w14:solidFill>
                </w14:textFill>
              </w:rPr>
              <w:t>国家信息安全等级保护三级认证（网络安全等级保护制度2.0三级），满足得6分。</w:t>
            </w: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Style w:val="30"/>
                <w:rFonts w:hint="eastAsia" w:ascii="宋体" w:hAnsi="宋体" w:eastAsia="宋体"/>
                <w:color w:val="000000" w:themeColor="text1"/>
                <w:lang w:eastAsia="zh-CN"/>
                <w14:textFill>
                  <w14:solidFill>
                    <w14:schemeClr w14:val="tx1"/>
                  </w14:solidFill>
                </w14:textFill>
              </w:rPr>
            </w:pPr>
            <w:r>
              <w:rPr>
                <w:rStyle w:val="30"/>
                <w:rFonts w:hint="eastAsia" w:ascii="宋体" w:hAnsi="宋体"/>
                <w:color w:val="000000" w:themeColor="text1"/>
                <w14:textFill>
                  <w14:solidFill>
                    <w14:schemeClr w14:val="tx1"/>
                  </w14:solidFill>
                </w14:textFill>
              </w:rPr>
              <w:t>注：</w:t>
            </w:r>
            <w:r>
              <w:rPr>
                <w:rFonts w:hint="eastAsia" w:ascii="宋体" w:hAnsi="宋体"/>
                <w:color w:val="000000" w:themeColor="text1"/>
                <w:szCs w:val="22"/>
                <w14:textFill>
                  <w14:solidFill>
                    <w14:schemeClr w14:val="tx1"/>
                  </w14:solidFill>
                </w14:textFill>
              </w:rPr>
              <w:t>要求</w:t>
            </w:r>
            <w:r>
              <w:rPr>
                <w:rFonts w:hint="eastAsia" w:ascii="宋体" w:hAnsi="宋体"/>
                <w:color w:val="000000" w:themeColor="text1"/>
                <w14:textFill>
                  <w14:solidFill>
                    <w14:schemeClr w14:val="tx1"/>
                  </w14:solidFill>
                </w14:textFill>
              </w:rPr>
              <w:t>为</w:t>
            </w:r>
            <w:r>
              <w:rPr>
                <w:rStyle w:val="79"/>
                <w:rFonts w:hint="default"/>
                <w:color w:val="000000" w:themeColor="text1"/>
                <w:sz w:val="21"/>
                <w:szCs w:val="18"/>
                <w14:textFill>
                  <w14:solidFill>
                    <w14:schemeClr w14:val="tx1"/>
                  </w14:solidFill>
                </w14:textFill>
              </w:rPr>
              <w:t>软件制造商出具的三级等保证书，同时具备信息系统安全等级保护备案证明和信息安全等级保护测评结果通知书</w:t>
            </w:r>
            <w:r>
              <w:rPr>
                <w:rStyle w:val="79"/>
                <w:rFonts w:hint="eastAsia"/>
                <w:color w:val="000000" w:themeColor="text1"/>
                <w:sz w:val="21"/>
                <w:szCs w:val="1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3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p>
        </w:tc>
        <w:tc>
          <w:tcPr>
            <w:tcW w:w="88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60" w:lineRule="exact"/>
              <w:textAlignment w:val="auto"/>
              <w:rPr>
                <w:rFonts w:ascii="宋体" w:hAnsi="宋体"/>
                <w:color w:val="000000" w:themeColor="text1"/>
                <w:szCs w:val="21"/>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5分</w:t>
            </w:r>
          </w:p>
        </w:tc>
        <w:tc>
          <w:tcPr>
            <w:tcW w:w="5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供应商需提供类似项目业绩，每提供1个类似业绩得1分，最多得</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分；不提供或提供相关资料不符合的不得分。</w:t>
            </w:r>
          </w:p>
        </w:tc>
        <w:tc>
          <w:tcPr>
            <w:tcW w:w="311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注：须提供合同或中标记录（含中标通知书、网载中标记录等）或用户盖章的验收报告等复印件加盖供应商公章。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3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p>
        </w:tc>
        <w:tc>
          <w:tcPr>
            <w:tcW w:w="88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60" w:lineRule="exact"/>
              <w:textAlignment w:val="auto"/>
              <w:rPr>
                <w:rFonts w:ascii="宋体" w:hAnsi="宋体"/>
                <w:color w:val="000000" w:themeColor="text1"/>
                <w:szCs w:val="21"/>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分</w:t>
            </w:r>
          </w:p>
        </w:tc>
        <w:tc>
          <w:tcPr>
            <w:tcW w:w="5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6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为保障血透管理系统数据能够上报国家质控平台，需提供医院出具的投标人或生产厂商在该医院血透数据上报国家质控的证明文件的得</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分。</w:t>
            </w:r>
          </w:p>
        </w:tc>
        <w:tc>
          <w:tcPr>
            <w:tcW w:w="3110"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60" w:lineRule="exact"/>
              <w:textAlignment w:val="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注：除提供医院证明外，还需提供与出具证明的医院签订的血透项目合同、血透项目验收报告，以上资料均提供复印件并加盖供应商公章，提供资料不全或未按要求提供均不得分</w:t>
            </w:r>
            <w:r>
              <w:rPr>
                <w:rFonts w:hint="eastAsia" w:ascii="宋体" w:hAnsi="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37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60" w:lineRule="exact"/>
              <w:jc w:val="center"/>
              <w:textAlignment w:val="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p>
        </w:tc>
        <w:tc>
          <w:tcPr>
            <w:tcW w:w="88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履约能力7%</w:t>
            </w:r>
          </w:p>
        </w:tc>
        <w:tc>
          <w:tcPr>
            <w:tcW w:w="6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60" w:lineRule="exact"/>
              <w:ind w:firstLine="28"/>
              <w:jc w:val="center"/>
              <w:textAlignment w:val="auto"/>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7分</w:t>
            </w:r>
          </w:p>
        </w:tc>
        <w:tc>
          <w:tcPr>
            <w:tcW w:w="562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60" w:lineRule="exact"/>
              <w:ind w:firstLine="28"/>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1、供应商针对本项目制定的售后服务(应包含但不限于售后服务内容、售后服务体系、响应时间、保障措施、售后人员安排、应急处理等内容)内容齐全、科学合理具有针对性、完全满足招标文件要求的得</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分；每有一项负偏离或售后服务每有一项漏项或方案内容存在逻辑问题或与项目需求不符存在无关内容或不满足要求的扣</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分，扣完为止。</w:t>
            </w:r>
          </w:p>
        </w:tc>
        <w:tc>
          <w:tcPr>
            <w:tcW w:w="3110"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60" w:lineRule="exact"/>
              <w:ind w:firstLine="28"/>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提供整体方案</w:t>
            </w:r>
          </w:p>
        </w:tc>
      </w:tr>
    </w:tbl>
    <w:p>
      <w:pPr>
        <w:widowControl/>
        <w:spacing w:line="360" w:lineRule="auto"/>
        <w:jc w:val="center"/>
        <w:rPr>
          <w:rFonts w:hint="eastAsia" w:ascii="Times New Roman" w:hAnsi="Times New Roman"/>
          <w:b/>
          <w:sz w:val="30"/>
          <w:szCs w:val="30"/>
        </w:rPr>
      </w:pPr>
      <w:r>
        <w:rPr>
          <w:rFonts w:hint="eastAsia" w:ascii="Times New Roman" w:hAnsi="Times New Roman"/>
          <w:b/>
          <w:sz w:val="30"/>
          <w:szCs w:val="30"/>
          <w:lang w:eastAsia="zh-CN"/>
        </w:rPr>
        <w:t>第四章</w:t>
      </w:r>
      <w:r>
        <w:rPr>
          <w:rFonts w:hint="eastAsia" w:ascii="Times New Roman" w:hAnsi="Times New Roman"/>
          <w:b/>
          <w:sz w:val="30"/>
          <w:szCs w:val="30"/>
          <w:lang w:val="en-US" w:eastAsia="zh-CN"/>
        </w:rPr>
        <w:t xml:space="preserve"> </w:t>
      </w:r>
      <w:r>
        <w:rPr>
          <w:rFonts w:hint="eastAsia" w:ascii="Times New Roman" w:hAnsi="Times New Roman"/>
          <w:b/>
          <w:sz w:val="30"/>
          <w:szCs w:val="30"/>
        </w:rPr>
        <w:t>响应文件格式</w:t>
      </w:r>
      <w:bookmarkEnd w:id="6"/>
      <w:bookmarkEnd w:id="7"/>
      <w:r>
        <w:rPr>
          <w:rFonts w:hint="eastAsia" w:ascii="Times New Roman" w:hAnsi="Times New Roman"/>
          <w:b/>
          <w:sz w:val="30"/>
          <w:szCs w:val="30"/>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（一式两份，一正一副，封面注明项目名称，报价为一次性报价。）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2、提供具有良好的商业信誉承诺书及2021年度或2022年度的财务报告或银行资信证明。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4、提供开标日前任意一个月的缴纳税收和社保的银行缴款凭证或税务、社保部门出具的证明材料复印件（注：可提供承诺函）。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5、提供参加本次比选采购活动前三年内，在经营活动中无重大违法记录的承诺书（公司成立不足三年的从成立之日起算）。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6、供应商及其现任法定代表人或负责人近三年内不得具有行贿犯罪记录承诺书。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7、不存在与单位负责人为同一人或者存在直接控股、管理关系的其他供应商参与同一合同项下的采购活动的行为。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rPr>
          <w:rFonts w:ascii="Times New Roman" w:hAnsi="Times New Roman"/>
          <w:b/>
          <w:kern w:val="0"/>
          <w:sz w:val="32"/>
          <w:szCs w:val="20"/>
        </w:rPr>
      </w:pPr>
      <w:r>
        <w:rPr>
          <w:rFonts w:ascii="Times New Roman" w:hAnsi="Times New Roman"/>
          <w:b/>
          <w:kern w:val="0"/>
          <w:sz w:val="32"/>
          <w:szCs w:val="20"/>
        </w:rPr>
        <w:br w:type="page"/>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center"/>
        <w:outlineLvl w:val="1"/>
        <w:rPr>
          <w:rFonts w:ascii="Times New Roman" w:hAnsi="Times New Roman" w:eastAsia="黑体"/>
          <w:b/>
          <w:kern w:val="0"/>
          <w:sz w:val="32"/>
          <w:szCs w:val="32"/>
        </w:rPr>
      </w:pPr>
      <w:bookmarkStart w:id="9" w:name="_Toc34051805"/>
      <w:bookmarkStart w:id="10" w:name="_Toc52036326"/>
      <w:bookmarkStart w:id="11" w:name="_Toc33709793"/>
      <w:bookmarkStart w:id="12" w:name="_Toc40447267"/>
      <w:bookmarkStart w:id="13" w:name="_Toc33698132"/>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14" w:name="_Toc33698133"/>
      <w:bookmarkStart w:id="15" w:name="_Toc33709794"/>
      <w:bookmarkStart w:id="16" w:name="_Toc52036327"/>
      <w:bookmarkStart w:id="17" w:name="_Toc40447268"/>
      <w:bookmarkStart w:id="18" w:name="_Toc34051806"/>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19" w:name="_Toc40447269"/>
      <w:bookmarkStart w:id="20" w:name="_Toc34051807"/>
      <w:bookmarkStart w:id="21" w:name="_Toc33698134"/>
      <w:bookmarkStart w:id="22" w:name="_Toc52036328"/>
      <w:bookmarkStart w:id="23" w:name="_Toc33709795"/>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numPr>
          <w:ilvl w:val="0"/>
          <w:numId w:val="2"/>
        </w:numPr>
        <w:spacing w:line="360" w:lineRule="auto"/>
        <w:jc w:val="center"/>
        <w:outlineLvl w:val="1"/>
        <w:rPr>
          <w:rFonts w:ascii="Times New Roman" w:hAnsi="Times New Roman" w:eastAsia="黑体"/>
          <w:b/>
          <w:kern w:val="0"/>
          <w:sz w:val="32"/>
          <w:szCs w:val="32"/>
        </w:rPr>
      </w:pPr>
      <w:bookmarkStart w:id="24" w:name="_Toc52036329"/>
      <w:bookmarkStart w:id="25" w:name="_Toc34051808"/>
      <w:bookmarkStart w:id="26" w:name="_Toc40447270"/>
      <w:bookmarkStart w:id="27" w:name="_Toc33698135"/>
      <w:bookmarkStart w:id="28" w:name="_Toc33709796"/>
      <w:r>
        <w:rPr>
          <w:rFonts w:ascii="Times New Roman" w:hAnsi="Times New Roman" w:eastAsia="黑体"/>
          <w:b/>
          <w:kern w:val="0"/>
          <w:sz w:val="32"/>
          <w:szCs w:val="32"/>
        </w:rPr>
        <w:t>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hint="eastAsia" w:ascii="宋体" w:hAnsi="宋体" w:eastAsia="宋体" w:cs="宋体"/>
          <w:b/>
          <w:color w:val="000000"/>
          <w:sz w:val="28"/>
          <w:szCs w:val="28"/>
        </w:rPr>
      </w:pPr>
      <w:r>
        <w:rPr>
          <w:rFonts w:ascii="Times New Roman" w:hAnsi="Times New Roman"/>
          <w:b/>
          <w:bCs/>
          <w:kern w:val="0"/>
          <w:szCs w:val="21"/>
        </w:rPr>
        <w:t>注：比选申请人应按比选文件相关要求提供证明材料，格式自拟。</w:t>
      </w:r>
    </w:p>
    <w:p>
      <w:pPr>
        <w:rPr>
          <w:rFonts w:ascii="Times New Roman" w:hAnsi="Times New Roman"/>
          <w:b/>
          <w:kern w:val="0"/>
          <w:sz w:val="32"/>
          <w:szCs w:val="20"/>
        </w:rPr>
      </w:pPr>
      <w:r>
        <w:rPr>
          <w:rFonts w:ascii="Times New Roman" w:hAnsi="Times New Roman"/>
          <w:b/>
          <w:kern w:val="0"/>
          <w:sz w:val="32"/>
          <w:szCs w:val="20"/>
        </w:rPr>
        <w:br w:type="page"/>
      </w:r>
    </w:p>
    <w:bookmarkEnd w:id="2"/>
    <w:bookmarkEnd w:id="3"/>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3003"/>
        <w:gridCol w:w="3003"/>
        <w:gridCol w:w="1496"/>
        <w:gridCol w:w="14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widowControl/>
        <w:numPr>
          <w:ilvl w:val="0"/>
          <w:numId w:val="3"/>
        </w:numPr>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比选申请人类似项目业绩一览表</w:t>
      </w:r>
    </w:p>
    <w:p>
      <w:pPr>
        <w:pStyle w:val="17"/>
        <w:numPr>
          <w:ilvl w:val="0"/>
          <w:numId w:val="0"/>
        </w:numPr>
        <w:ind w:left="420" w:leftChars="0"/>
      </w:pP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404120"/>
      <w:bookmarkStart w:id="30" w:name="_Toc307564880"/>
      <w:bookmarkStart w:id="31" w:name="_Toc436820890"/>
      <w:bookmarkStart w:id="32" w:name="_Toc436410129"/>
      <w:bookmarkStart w:id="33" w:name="_Toc436385992"/>
      <w:r>
        <w:rPr>
          <w:rFonts w:ascii="Times New Roman" w:hAnsi="Times New Roman"/>
          <w:kern w:val="0"/>
          <w:sz w:val="24"/>
          <w:szCs w:val="20"/>
        </w:rPr>
        <w:br w:type="page"/>
      </w:r>
      <w:bookmarkEnd w:id="29"/>
      <w:bookmarkEnd w:id="30"/>
      <w:bookmarkEnd w:id="31"/>
      <w:bookmarkEnd w:id="32"/>
      <w:bookmarkEnd w:id="33"/>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6415"/>
      <w:bookmarkStart w:id="35" w:name="_Toc503987183"/>
      <w:bookmarkStart w:id="36" w:name="_Toc503986971"/>
      <w:bookmarkStart w:id="37" w:name="_Toc503986838"/>
      <w:bookmarkStart w:id="38" w:name="_Toc503987293"/>
      <w:bookmarkStart w:id="39" w:name="_Toc503987104"/>
    </w:p>
    <w:p>
      <w:pPr>
        <w:widowControl/>
        <w:spacing w:line="360" w:lineRule="auto"/>
        <w:jc w:val="center"/>
        <w:outlineLvl w:val="1"/>
        <w:rPr>
          <w:rFonts w:ascii="Times New Roman" w:hAnsi="Times New Roman" w:eastAsia="黑体"/>
          <w:b/>
          <w:kern w:val="0"/>
          <w:sz w:val="32"/>
          <w:szCs w:val="32"/>
        </w:rPr>
      </w:pPr>
      <w:bookmarkStart w:id="40" w:name="_Toc52036330"/>
      <w:bookmarkStart w:id="41" w:name="_Toc34051809"/>
      <w:bookmarkStart w:id="42" w:name="_Toc40447271"/>
      <w:bookmarkStart w:id="43" w:name="_Toc33709797"/>
      <w:bookmarkStart w:id="44" w:name="_Toc33698136"/>
      <w:r>
        <w:rPr>
          <w:rFonts w:ascii="Times New Roman" w:hAnsi="Times New Roman" w:eastAsia="黑体"/>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45" w:name="_Toc33709798"/>
      <w:bookmarkStart w:id="46" w:name="_Toc34051810"/>
      <w:bookmarkStart w:id="47" w:name="_Toc33698137"/>
      <w:bookmarkStart w:id="48" w:name="_Toc52036331"/>
      <w:bookmarkStart w:id="49" w:name="_Toc40447272"/>
      <w:r>
        <w:rPr>
          <w:rFonts w:ascii="Times New Roman" w:hAnsi="Times New Roman" w:eastAsia="黑体"/>
          <w:b/>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p>
    <w:p>
      <w:pPr>
        <w:jc w:val="center"/>
        <w:rPr>
          <w:rFonts w:ascii="Times New Roman" w:hAnsi="Times New Roman"/>
          <w:b/>
          <w:sz w:val="32"/>
          <w:szCs w:val="32"/>
        </w:rPr>
      </w:pPr>
      <w:r>
        <w:rPr>
          <w:rFonts w:hint="eastAsia" w:ascii="Times New Roman" w:hAnsi="Times New Roman"/>
          <w:b/>
          <w:sz w:val="32"/>
          <w:szCs w:val="32"/>
          <w:lang w:eastAsia="zh-CN"/>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824"/>
        <w:gridCol w:w="1553"/>
        <w:gridCol w:w="775"/>
        <w:gridCol w:w="1360"/>
        <w:gridCol w:w="1360"/>
        <w:gridCol w:w="2331"/>
        <w:gridCol w:w="9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118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49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8" w:type="pct"/>
            <w:vAlign w:val="center"/>
          </w:tcPr>
          <w:p>
            <w:pPr>
              <w:spacing w:line="360" w:lineRule="auto"/>
              <w:ind w:left="-105" w:leftChars="-50" w:right="-105" w:rightChars="-50"/>
              <w:jc w:val="center"/>
              <w:rPr>
                <w:rFonts w:ascii="Times New Roman" w:hAnsi="Times New Roman"/>
                <w:sz w:val="24"/>
              </w:rPr>
            </w:pPr>
          </w:p>
        </w:tc>
        <w:tc>
          <w:tcPr>
            <w:tcW w:w="418"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3"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1183" w:type="pct"/>
            <w:vAlign w:val="center"/>
          </w:tcPr>
          <w:p>
            <w:pPr>
              <w:spacing w:line="360" w:lineRule="auto"/>
              <w:ind w:left="-105" w:leftChars="-50" w:right="-105" w:rightChars="-50"/>
              <w:jc w:val="center"/>
              <w:rPr>
                <w:rFonts w:ascii="Times New Roman" w:hAnsi="Times New Roman"/>
                <w:sz w:val="24"/>
              </w:rPr>
            </w:pPr>
          </w:p>
        </w:tc>
        <w:tc>
          <w:tcPr>
            <w:tcW w:w="498"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8" w:type="pct"/>
            <w:vAlign w:val="center"/>
          </w:tcPr>
          <w:p>
            <w:pPr>
              <w:spacing w:line="360" w:lineRule="auto"/>
              <w:ind w:left="-105" w:leftChars="-50" w:right="-105" w:rightChars="-50"/>
              <w:jc w:val="center"/>
              <w:rPr>
                <w:rFonts w:ascii="Times New Roman" w:hAnsi="Times New Roman"/>
                <w:sz w:val="24"/>
              </w:rPr>
            </w:pPr>
          </w:p>
        </w:tc>
        <w:tc>
          <w:tcPr>
            <w:tcW w:w="418"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3"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1183" w:type="pct"/>
            <w:vAlign w:val="center"/>
          </w:tcPr>
          <w:p>
            <w:pPr>
              <w:spacing w:line="360" w:lineRule="auto"/>
              <w:ind w:left="-105" w:leftChars="-50" w:right="-105" w:rightChars="-50"/>
              <w:jc w:val="center"/>
              <w:rPr>
                <w:rFonts w:ascii="Times New Roman" w:hAnsi="Times New Roman"/>
                <w:sz w:val="24"/>
              </w:rPr>
            </w:pPr>
          </w:p>
        </w:tc>
        <w:tc>
          <w:tcPr>
            <w:tcW w:w="498"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8" w:type="pct"/>
            <w:vAlign w:val="center"/>
          </w:tcPr>
          <w:p>
            <w:pPr>
              <w:spacing w:line="360" w:lineRule="auto"/>
              <w:ind w:left="-105" w:leftChars="-50" w:right="-105" w:rightChars="-50"/>
              <w:jc w:val="center"/>
              <w:rPr>
                <w:rFonts w:ascii="Times New Roman" w:hAnsi="Times New Roman"/>
                <w:sz w:val="24"/>
              </w:rPr>
            </w:pPr>
          </w:p>
        </w:tc>
        <w:tc>
          <w:tcPr>
            <w:tcW w:w="418"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3"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1183" w:type="pct"/>
            <w:vAlign w:val="center"/>
          </w:tcPr>
          <w:p>
            <w:pPr>
              <w:spacing w:line="360" w:lineRule="auto"/>
              <w:ind w:left="-105" w:leftChars="-50" w:right="-105" w:rightChars="-50"/>
              <w:jc w:val="center"/>
              <w:rPr>
                <w:rFonts w:ascii="Times New Roman" w:hAnsi="Times New Roman"/>
                <w:sz w:val="24"/>
              </w:rPr>
            </w:pPr>
          </w:p>
        </w:tc>
        <w:tc>
          <w:tcPr>
            <w:tcW w:w="498"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1、报价应是最终用户验收合格后的总价，包括</w:t>
      </w:r>
      <w:r>
        <w:rPr>
          <w:rFonts w:hint="eastAsia" w:ascii="Times New Roman" w:hAnsi="Times New Roman"/>
          <w:sz w:val="24"/>
          <w:szCs w:val="20"/>
          <w:lang w:eastAsia="zh-CN"/>
        </w:rPr>
        <w:t>：</w:t>
      </w:r>
      <w:r>
        <w:rPr>
          <w:rFonts w:ascii="Times New Roman" w:hAnsi="Times New Roman"/>
          <w:sz w:val="24"/>
          <w:szCs w:val="20"/>
        </w:rPr>
        <w:t>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pStyle w:val="2"/>
        <w:rPr>
          <w:rFonts w:hint="eastAsi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9" w:usb3="00000000" w:csb0="2000019F" w:csb1="00000000"/>
  </w:font>
  <w:font w:name="Cambria">
    <w:panose1 w:val="020405030504060A0204"/>
    <w:charset w:val="00"/>
    <w:family w:val="roman"/>
    <w:pitch w:val="default"/>
    <w:sig w:usb0="E00002FF" w:usb1="4000045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rinda">
    <w:panose1 w:val="020B0502040204020203"/>
    <w:charset w:val="01"/>
    <w:family w:val="roman"/>
    <w:pitch w:val="default"/>
    <w:sig w:usb0="00010003"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626CE"/>
    <w:multiLevelType w:val="singleLevel"/>
    <w:tmpl w:val="A5A626CE"/>
    <w:lvl w:ilvl="0" w:tentative="0">
      <w:start w:val="4"/>
      <w:numFmt w:val="chineseCounting"/>
      <w:suff w:val="nothing"/>
      <w:lvlText w:val="%1、"/>
      <w:lvlJc w:val="left"/>
      <w:rPr>
        <w:rFonts w:hint="eastAsia"/>
      </w:rPr>
    </w:lvl>
  </w:abstractNum>
  <w:abstractNum w:abstractNumId="1">
    <w:nsid w:val="035EE183"/>
    <w:multiLevelType w:val="singleLevel"/>
    <w:tmpl w:val="035EE183"/>
    <w:lvl w:ilvl="0" w:tentative="0">
      <w:start w:val="6"/>
      <w:numFmt w:val="chineseCounting"/>
      <w:suff w:val="nothing"/>
      <w:lvlText w:val="%1、"/>
      <w:lvlJc w:val="left"/>
      <w:rPr>
        <w:rFonts w:hint="eastAsia"/>
      </w:rPr>
    </w:lvl>
  </w:abstractNum>
  <w:abstractNum w:abstractNumId="2">
    <w:nsid w:val="2735ECBD"/>
    <w:multiLevelType w:val="singleLevel"/>
    <w:tmpl w:val="2735ECBD"/>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YjQ1ZTBiYjA5ZmVjNzc5MWE0Y2Q2MzdiYjZhYzY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364B9"/>
    <w:rsid w:val="00A53362"/>
    <w:rsid w:val="00AE2F1C"/>
    <w:rsid w:val="00B316F5"/>
    <w:rsid w:val="00B53FCB"/>
    <w:rsid w:val="00BA33DF"/>
    <w:rsid w:val="00C41F0F"/>
    <w:rsid w:val="00C84C99"/>
    <w:rsid w:val="00CA567C"/>
    <w:rsid w:val="00D97302"/>
    <w:rsid w:val="00DD4D9F"/>
    <w:rsid w:val="00F65A99"/>
    <w:rsid w:val="00FC31D4"/>
    <w:rsid w:val="01BD420B"/>
    <w:rsid w:val="02A76009"/>
    <w:rsid w:val="02FC6355"/>
    <w:rsid w:val="036A7762"/>
    <w:rsid w:val="04206073"/>
    <w:rsid w:val="04936845"/>
    <w:rsid w:val="066A2989"/>
    <w:rsid w:val="07B349F8"/>
    <w:rsid w:val="081A028E"/>
    <w:rsid w:val="082E244F"/>
    <w:rsid w:val="098D5F59"/>
    <w:rsid w:val="099E2384"/>
    <w:rsid w:val="0A382368"/>
    <w:rsid w:val="0AFA5A96"/>
    <w:rsid w:val="0B301D2E"/>
    <w:rsid w:val="0B6010B4"/>
    <w:rsid w:val="0B610D74"/>
    <w:rsid w:val="0BBF29AD"/>
    <w:rsid w:val="0BEB6F66"/>
    <w:rsid w:val="0BF615DF"/>
    <w:rsid w:val="0C4B13A5"/>
    <w:rsid w:val="0CD27FFC"/>
    <w:rsid w:val="0D0F4ED6"/>
    <w:rsid w:val="0D350DE1"/>
    <w:rsid w:val="0DAC4D70"/>
    <w:rsid w:val="0DBF6485"/>
    <w:rsid w:val="0E677033"/>
    <w:rsid w:val="0E7F1957"/>
    <w:rsid w:val="0EE428AF"/>
    <w:rsid w:val="0FE16FFE"/>
    <w:rsid w:val="101271B8"/>
    <w:rsid w:val="10402909"/>
    <w:rsid w:val="144B482A"/>
    <w:rsid w:val="14E84654"/>
    <w:rsid w:val="15200185"/>
    <w:rsid w:val="15304B56"/>
    <w:rsid w:val="16996738"/>
    <w:rsid w:val="17122347"/>
    <w:rsid w:val="17F6222D"/>
    <w:rsid w:val="18461C09"/>
    <w:rsid w:val="186D58D3"/>
    <w:rsid w:val="1871259E"/>
    <w:rsid w:val="18CA07A2"/>
    <w:rsid w:val="18F54FAA"/>
    <w:rsid w:val="19316A63"/>
    <w:rsid w:val="19566367"/>
    <w:rsid w:val="19A37076"/>
    <w:rsid w:val="1B266D2D"/>
    <w:rsid w:val="1B481CDF"/>
    <w:rsid w:val="1B4D05AA"/>
    <w:rsid w:val="1BAC4722"/>
    <w:rsid w:val="1BB678E7"/>
    <w:rsid w:val="1C281231"/>
    <w:rsid w:val="1C88336B"/>
    <w:rsid w:val="1CD16B77"/>
    <w:rsid w:val="1DD130CF"/>
    <w:rsid w:val="1E0A001A"/>
    <w:rsid w:val="1E9B5F74"/>
    <w:rsid w:val="1F1D0593"/>
    <w:rsid w:val="1F2324A2"/>
    <w:rsid w:val="1FAE4192"/>
    <w:rsid w:val="1FDE786A"/>
    <w:rsid w:val="2058214A"/>
    <w:rsid w:val="20A2053B"/>
    <w:rsid w:val="20D54F08"/>
    <w:rsid w:val="20ED7DFF"/>
    <w:rsid w:val="21DF2C72"/>
    <w:rsid w:val="22877591"/>
    <w:rsid w:val="22CA3482"/>
    <w:rsid w:val="246D6C5B"/>
    <w:rsid w:val="247F6619"/>
    <w:rsid w:val="252A06D3"/>
    <w:rsid w:val="26463681"/>
    <w:rsid w:val="271909D4"/>
    <w:rsid w:val="27457A1B"/>
    <w:rsid w:val="278B7B24"/>
    <w:rsid w:val="284301C5"/>
    <w:rsid w:val="28456613"/>
    <w:rsid w:val="29226266"/>
    <w:rsid w:val="29A7364C"/>
    <w:rsid w:val="2A092A55"/>
    <w:rsid w:val="2A9A5B9B"/>
    <w:rsid w:val="2B970CE2"/>
    <w:rsid w:val="2BD0497A"/>
    <w:rsid w:val="2BF11E95"/>
    <w:rsid w:val="2BFC0981"/>
    <w:rsid w:val="2C0B2FE1"/>
    <w:rsid w:val="2D7C46D0"/>
    <w:rsid w:val="2DB54EEB"/>
    <w:rsid w:val="2F5D26AF"/>
    <w:rsid w:val="2FB70420"/>
    <w:rsid w:val="2FF22973"/>
    <w:rsid w:val="30847F8C"/>
    <w:rsid w:val="31B9528D"/>
    <w:rsid w:val="31BA5EBE"/>
    <w:rsid w:val="32CD2AF9"/>
    <w:rsid w:val="32E80129"/>
    <w:rsid w:val="33AC79A0"/>
    <w:rsid w:val="33D16649"/>
    <w:rsid w:val="3410163B"/>
    <w:rsid w:val="344A6670"/>
    <w:rsid w:val="352C0BF7"/>
    <w:rsid w:val="35DF103A"/>
    <w:rsid w:val="3609706D"/>
    <w:rsid w:val="36F100CE"/>
    <w:rsid w:val="36F86858"/>
    <w:rsid w:val="37164E99"/>
    <w:rsid w:val="37427AD3"/>
    <w:rsid w:val="38190834"/>
    <w:rsid w:val="381F1BC2"/>
    <w:rsid w:val="3839273F"/>
    <w:rsid w:val="39202673"/>
    <w:rsid w:val="39761CB6"/>
    <w:rsid w:val="39A22AAB"/>
    <w:rsid w:val="39AD03CF"/>
    <w:rsid w:val="3A445910"/>
    <w:rsid w:val="3A83468A"/>
    <w:rsid w:val="3A8F1371"/>
    <w:rsid w:val="3AAA1402"/>
    <w:rsid w:val="3ADD50BB"/>
    <w:rsid w:val="3BE1743B"/>
    <w:rsid w:val="3BE455FD"/>
    <w:rsid w:val="3BF758E5"/>
    <w:rsid w:val="3C2B003B"/>
    <w:rsid w:val="3C455B7B"/>
    <w:rsid w:val="3C693B9A"/>
    <w:rsid w:val="3CE02C16"/>
    <w:rsid w:val="3CFC3046"/>
    <w:rsid w:val="3D0A4427"/>
    <w:rsid w:val="3DEC2546"/>
    <w:rsid w:val="3EA40C89"/>
    <w:rsid w:val="3F3026AC"/>
    <w:rsid w:val="3FDC7247"/>
    <w:rsid w:val="40026051"/>
    <w:rsid w:val="40F37FB8"/>
    <w:rsid w:val="4110479E"/>
    <w:rsid w:val="4191768D"/>
    <w:rsid w:val="41B220EF"/>
    <w:rsid w:val="41F8595E"/>
    <w:rsid w:val="42085A83"/>
    <w:rsid w:val="42DE7659"/>
    <w:rsid w:val="43400963"/>
    <w:rsid w:val="444F0625"/>
    <w:rsid w:val="45392515"/>
    <w:rsid w:val="45BE1E11"/>
    <w:rsid w:val="45EA0429"/>
    <w:rsid w:val="46D1677D"/>
    <w:rsid w:val="46FB0382"/>
    <w:rsid w:val="472C4F7A"/>
    <w:rsid w:val="478661AE"/>
    <w:rsid w:val="47EB6865"/>
    <w:rsid w:val="480706A9"/>
    <w:rsid w:val="497C50C6"/>
    <w:rsid w:val="499F23B8"/>
    <w:rsid w:val="49EF479F"/>
    <w:rsid w:val="4A9D70A2"/>
    <w:rsid w:val="4AB97C54"/>
    <w:rsid w:val="4BC43E4C"/>
    <w:rsid w:val="4C2C6594"/>
    <w:rsid w:val="4C7D185E"/>
    <w:rsid w:val="4DD454D1"/>
    <w:rsid w:val="4E493349"/>
    <w:rsid w:val="4E81291C"/>
    <w:rsid w:val="4F5A1194"/>
    <w:rsid w:val="4F9B5B7A"/>
    <w:rsid w:val="4FED4628"/>
    <w:rsid w:val="50277BC9"/>
    <w:rsid w:val="5040259D"/>
    <w:rsid w:val="50C35389"/>
    <w:rsid w:val="50D15CF8"/>
    <w:rsid w:val="51066F16"/>
    <w:rsid w:val="517F0FED"/>
    <w:rsid w:val="51AE40DC"/>
    <w:rsid w:val="51AE6039"/>
    <w:rsid w:val="51CF6F96"/>
    <w:rsid w:val="52075749"/>
    <w:rsid w:val="52095598"/>
    <w:rsid w:val="522B1438"/>
    <w:rsid w:val="522E717A"/>
    <w:rsid w:val="52B14033"/>
    <w:rsid w:val="533253F0"/>
    <w:rsid w:val="53455021"/>
    <w:rsid w:val="537A7089"/>
    <w:rsid w:val="538452A3"/>
    <w:rsid w:val="538A508B"/>
    <w:rsid w:val="53D63625"/>
    <w:rsid w:val="5422686A"/>
    <w:rsid w:val="55356E1A"/>
    <w:rsid w:val="55780E38"/>
    <w:rsid w:val="55BE2D22"/>
    <w:rsid w:val="560501F2"/>
    <w:rsid w:val="568E6439"/>
    <w:rsid w:val="56B93C5A"/>
    <w:rsid w:val="56D330DE"/>
    <w:rsid w:val="57376AD1"/>
    <w:rsid w:val="578E0FAB"/>
    <w:rsid w:val="58360F93"/>
    <w:rsid w:val="58BA1F78"/>
    <w:rsid w:val="599B3347"/>
    <w:rsid w:val="599D70BF"/>
    <w:rsid w:val="59B60181"/>
    <w:rsid w:val="5AA9706F"/>
    <w:rsid w:val="5AAD383C"/>
    <w:rsid w:val="5AF82BBD"/>
    <w:rsid w:val="5B505E97"/>
    <w:rsid w:val="5C866026"/>
    <w:rsid w:val="5D9621E8"/>
    <w:rsid w:val="5DC20E2A"/>
    <w:rsid w:val="5DC40EC2"/>
    <w:rsid w:val="5DD8138D"/>
    <w:rsid w:val="5DEF0CB7"/>
    <w:rsid w:val="5E435D5B"/>
    <w:rsid w:val="5E777287"/>
    <w:rsid w:val="5EBF7E2B"/>
    <w:rsid w:val="5F9B0133"/>
    <w:rsid w:val="611E7ED2"/>
    <w:rsid w:val="611F03B9"/>
    <w:rsid w:val="617A7CE6"/>
    <w:rsid w:val="624A3B5C"/>
    <w:rsid w:val="62892A63"/>
    <w:rsid w:val="629A0318"/>
    <w:rsid w:val="64171479"/>
    <w:rsid w:val="64633872"/>
    <w:rsid w:val="659F01D8"/>
    <w:rsid w:val="66350708"/>
    <w:rsid w:val="6686620A"/>
    <w:rsid w:val="66F25230"/>
    <w:rsid w:val="68033400"/>
    <w:rsid w:val="68871E97"/>
    <w:rsid w:val="68B977C1"/>
    <w:rsid w:val="692844CB"/>
    <w:rsid w:val="69B343B3"/>
    <w:rsid w:val="69CD4345"/>
    <w:rsid w:val="69DC778F"/>
    <w:rsid w:val="69E4351C"/>
    <w:rsid w:val="6A4F2F1A"/>
    <w:rsid w:val="6ABE0C43"/>
    <w:rsid w:val="6B5C3E4F"/>
    <w:rsid w:val="6B8A20A2"/>
    <w:rsid w:val="6B8C2459"/>
    <w:rsid w:val="6BB8153D"/>
    <w:rsid w:val="6BDF60AB"/>
    <w:rsid w:val="6C320399"/>
    <w:rsid w:val="6C755241"/>
    <w:rsid w:val="6D50327E"/>
    <w:rsid w:val="6DCB2D23"/>
    <w:rsid w:val="6E671E41"/>
    <w:rsid w:val="6EA34B5F"/>
    <w:rsid w:val="6F514ADE"/>
    <w:rsid w:val="6F833AC6"/>
    <w:rsid w:val="6FA74BB9"/>
    <w:rsid w:val="6FD902CD"/>
    <w:rsid w:val="6FE859E5"/>
    <w:rsid w:val="713779A1"/>
    <w:rsid w:val="713951B9"/>
    <w:rsid w:val="71593422"/>
    <w:rsid w:val="72741FEF"/>
    <w:rsid w:val="727B1B10"/>
    <w:rsid w:val="72B059E8"/>
    <w:rsid w:val="732C647B"/>
    <w:rsid w:val="7353202C"/>
    <w:rsid w:val="735A34D3"/>
    <w:rsid w:val="74386650"/>
    <w:rsid w:val="7466395C"/>
    <w:rsid w:val="74BA06CD"/>
    <w:rsid w:val="74CD163D"/>
    <w:rsid w:val="74E67714"/>
    <w:rsid w:val="74F117E3"/>
    <w:rsid w:val="75793A16"/>
    <w:rsid w:val="762A7AD4"/>
    <w:rsid w:val="76481D09"/>
    <w:rsid w:val="76F43665"/>
    <w:rsid w:val="770737D2"/>
    <w:rsid w:val="77EB3293"/>
    <w:rsid w:val="78063C29"/>
    <w:rsid w:val="79216A1F"/>
    <w:rsid w:val="7A1B6C1E"/>
    <w:rsid w:val="7A351B2A"/>
    <w:rsid w:val="7A7A5A2A"/>
    <w:rsid w:val="7AB7598A"/>
    <w:rsid w:val="7B310FBD"/>
    <w:rsid w:val="7BB3231A"/>
    <w:rsid w:val="7C3F13C0"/>
    <w:rsid w:val="7C754515"/>
    <w:rsid w:val="7D080444"/>
    <w:rsid w:val="7D8D4B15"/>
    <w:rsid w:val="7E0D277C"/>
    <w:rsid w:val="7E580D51"/>
    <w:rsid w:val="7E970D8E"/>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3"/>
    <w:qFormat/>
    <w:uiPriority w:val="0"/>
    <w:pPr>
      <w:spacing w:after="120"/>
    </w:pPr>
    <w:rPr>
      <w:rFonts w:ascii="Times New Roman" w:hAnsi="Times New Roman"/>
    </w:rPr>
  </w:style>
  <w:style w:type="paragraph" w:styleId="6">
    <w:name w:val="Normal Indent"/>
    <w:basedOn w:val="1"/>
    <w:next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60"/>
    <w:qFormat/>
    <w:uiPriority w:val="0"/>
    <w:pPr>
      <w:jc w:val="left"/>
    </w:pPr>
    <w:rPr>
      <w:rFonts w:ascii="Times New Roman" w:hAnsi="Times New Roman"/>
    </w:rPr>
  </w:style>
  <w:style w:type="paragraph" w:styleId="8">
    <w:name w:val="Body Text Indent"/>
    <w:basedOn w:val="1"/>
    <w:link w:val="54"/>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70"/>
    <w:qFormat/>
    <w:uiPriority w:val="0"/>
    <w:rPr>
      <w:rFonts w:ascii="宋体" w:hAnsi="Courier New" w:cs="Courier New"/>
      <w:szCs w:val="21"/>
    </w:rPr>
  </w:style>
  <w:style w:type="paragraph" w:styleId="11">
    <w:name w:val="Date"/>
    <w:basedOn w:val="1"/>
    <w:next w:val="1"/>
    <w:link w:val="59"/>
    <w:qFormat/>
    <w:uiPriority w:val="0"/>
    <w:pPr>
      <w:ind w:left="100" w:leftChars="2500"/>
    </w:pPr>
    <w:rPr>
      <w:rFonts w:ascii="Times New Roman" w:hAnsi="Times New Roman"/>
    </w:rPr>
  </w:style>
  <w:style w:type="paragraph" w:styleId="12">
    <w:name w:val="Body Text Indent 2"/>
    <w:basedOn w:val="1"/>
    <w:link w:val="58"/>
    <w:qFormat/>
    <w:uiPriority w:val="0"/>
    <w:pPr>
      <w:spacing w:after="120" w:line="480" w:lineRule="auto"/>
      <w:ind w:left="420" w:leftChars="200"/>
    </w:pPr>
  </w:style>
  <w:style w:type="paragraph" w:styleId="13">
    <w:name w:val="Balloon Text"/>
    <w:basedOn w:val="1"/>
    <w:link w:val="69"/>
    <w:qFormat/>
    <w:uiPriority w:val="0"/>
    <w:rPr>
      <w:rFonts w:ascii="Times New Roman" w:hAnsi="Times New Roman"/>
      <w:sz w:val="18"/>
      <w:szCs w:val="18"/>
    </w:rPr>
  </w:style>
  <w:style w:type="paragraph" w:styleId="14">
    <w:name w:val="footer"/>
    <w:basedOn w:val="1"/>
    <w:link w:val="68"/>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72"/>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able of figures"/>
    <w:basedOn w:val="1"/>
    <w:next w:val="1"/>
    <w:qFormat/>
    <w:uiPriority w:val="0"/>
    <w:pPr>
      <w:ind w:left="840" w:leftChars="200" w:hanging="420" w:hangingChars="200"/>
    </w:pPr>
  </w:style>
  <w:style w:type="paragraph" w:styleId="18">
    <w:name w:val="toc 2"/>
    <w:basedOn w:val="1"/>
    <w:next w:val="1"/>
    <w:qFormat/>
    <w:uiPriority w:val="39"/>
    <w:pPr>
      <w:tabs>
        <w:tab w:val="right" w:leader="dot" w:pos="8296"/>
      </w:tabs>
      <w:ind w:left="420" w:leftChars="200"/>
    </w:pPr>
  </w:style>
  <w:style w:type="paragraph" w:styleId="19">
    <w:name w:val="List Continue 2"/>
    <w:basedOn w:val="1"/>
    <w:qFormat/>
    <w:uiPriority w:val="0"/>
    <w:pPr>
      <w:spacing w:after="120"/>
      <w:ind w:left="840" w:leftChars="4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7"/>
    <w:qFormat/>
    <w:uiPriority w:val="0"/>
    <w:pPr>
      <w:spacing w:before="240" w:after="60"/>
      <w:jc w:val="center"/>
      <w:outlineLvl w:val="0"/>
    </w:pPr>
    <w:rPr>
      <w:rFonts w:ascii="Cambria" w:hAnsi="Cambria"/>
      <w:b/>
      <w:bCs/>
      <w:sz w:val="32"/>
      <w:szCs w:val="32"/>
    </w:rPr>
  </w:style>
  <w:style w:type="paragraph" w:styleId="22">
    <w:name w:val="annotation subject"/>
    <w:basedOn w:val="7"/>
    <w:next w:val="7"/>
    <w:link w:val="65"/>
    <w:qFormat/>
    <w:uiPriority w:val="0"/>
    <w:rPr>
      <w:b/>
      <w:bCs/>
    </w:rPr>
  </w:style>
  <w:style w:type="paragraph" w:styleId="23">
    <w:name w:val="Body Text First Indent"/>
    <w:basedOn w:val="2"/>
    <w:qFormat/>
    <w:uiPriority w:val="0"/>
    <w:pPr>
      <w:spacing w:after="120"/>
      <w:ind w:firstLine="420" w:firstLineChars="100"/>
    </w:pPr>
    <w:rPr>
      <w:rFonts w:ascii="Calibri" w:hAnsi="Calibri" w:eastAsia="宋体"/>
      <w:kern w:val="2"/>
      <w:sz w:val="21"/>
    </w:r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themeColor="followedHyperlink"/>
      <w:u w:val="single"/>
      <w14:textFill>
        <w14:solidFill>
          <w14:schemeClr w14:val="folHlink"/>
        </w14:solidFill>
      </w14:textFill>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首行缩进"/>
    <w:basedOn w:val="1"/>
    <w:qFormat/>
    <w:uiPriority w:val="0"/>
    <w:pPr>
      <w:ind w:firstLine="480" w:firstLineChars="200"/>
    </w:pPr>
    <w:rPr>
      <w:lang w:val="zh-CN"/>
    </w:rPr>
  </w:style>
  <w:style w:type="character" w:customStyle="1" w:styleId="32">
    <w:name w:val="标题 1 Char"/>
    <w:basedOn w:val="25"/>
    <w:link w:val="3"/>
    <w:qFormat/>
    <w:uiPriority w:val="0"/>
    <w:rPr>
      <w:rFonts w:ascii="Calibri" w:hAnsi="Calibri"/>
      <w:b/>
      <w:bCs/>
      <w:kern w:val="44"/>
      <w:sz w:val="44"/>
      <w:szCs w:val="44"/>
    </w:rPr>
  </w:style>
  <w:style w:type="character" w:customStyle="1" w:styleId="33">
    <w:name w:val="标题 2 Char"/>
    <w:basedOn w:val="25"/>
    <w:link w:val="4"/>
    <w:qFormat/>
    <w:uiPriority w:val="0"/>
    <w:rPr>
      <w:rFonts w:ascii="Arial" w:hAnsi="Arial" w:eastAsia="黑体"/>
      <w:b/>
      <w:bCs/>
      <w:sz w:val="32"/>
      <w:szCs w:val="32"/>
    </w:rPr>
  </w:style>
  <w:style w:type="character" w:customStyle="1" w:styleId="34">
    <w:name w:val="标题 3 Char"/>
    <w:basedOn w:val="25"/>
    <w:link w:val="5"/>
    <w:qFormat/>
    <w:uiPriority w:val="0"/>
    <w:rPr>
      <w:rFonts w:ascii="Calibri" w:hAnsi="Calibri"/>
      <w:b/>
      <w:bCs/>
      <w:kern w:val="2"/>
      <w:sz w:val="32"/>
      <w:szCs w:val="32"/>
    </w:rPr>
  </w:style>
  <w:style w:type="character" w:customStyle="1" w:styleId="35">
    <w:name w:val="批注框文本 Char"/>
    <w:link w:val="13"/>
    <w:qFormat/>
    <w:uiPriority w:val="0"/>
    <w:rPr>
      <w:kern w:val="2"/>
      <w:sz w:val="18"/>
      <w:szCs w:val="18"/>
    </w:rPr>
  </w:style>
  <w:style w:type="character" w:customStyle="1" w:styleId="36">
    <w:name w:val="纯文本 Char1"/>
    <w:unhideWhenUsed/>
    <w:qFormat/>
    <w:uiPriority w:val="99"/>
    <w:rPr>
      <w:rFonts w:hint="eastAsia" w:ascii="宋体" w:hAnsi="Tms Rmn" w:eastAsia="宋体"/>
      <w:sz w:val="21"/>
      <w:lang w:val="en-US" w:eastAsia="zh-CN"/>
    </w:rPr>
  </w:style>
  <w:style w:type="character" w:customStyle="1" w:styleId="37">
    <w:name w:val="页眉 Char"/>
    <w:link w:val="15"/>
    <w:qFormat/>
    <w:uiPriority w:val="0"/>
    <w:rPr>
      <w:kern w:val="2"/>
      <w:sz w:val="18"/>
      <w:szCs w:val="18"/>
    </w:rPr>
  </w:style>
  <w:style w:type="character" w:customStyle="1" w:styleId="38">
    <w:name w:val="正文文本缩进 Char"/>
    <w:link w:val="8"/>
    <w:qFormat/>
    <w:uiPriority w:val="0"/>
    <w:rPr>
      <w:kern w:val="2"/>
      <w:sz w:val="21"/>
      <w:szCs w:val="24"/>
    </w:rPr>
  </w:style>
  <w:style w:type="character" w:customStyle="1" w:styleId="39">
    <w:name w:val="批注主题 Char"/>
    <w:link w:val="22"/>
    <w:qFormat/>
    <w:uiPriority w:val="0"/>
    <w:rPr>
      <w:b/>
      <w:bCs/>
      <w:kern w:val="2"/>
      <w:sz w:val="21"/>
      <w:szCs w:val="24"/>
    </w:rPr>
  </w:style>
  <w:style w:type="paragraph" w:customStyle="1" w:styleId="40">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5"/>
    <w:qFormat/>
    <w:uiPriority w:val="0"/>
  </w:style>
  <w:style w:type="character" w:customStyle="1" w:styleId="42">
    <w:name w:val="纯文本 Char"/>
    <w:link w:val="10"/>
    <w:qFormat/>
    <w:locked/>
    <w:uiPriority w:val="0"/>
    <w:rPr>
      <w:rFonts w:ascii="宋体" w:hAnsi="Courier New" w:cs="Courier New"/>
      <w:kern w:val="2"/>
      <w:sz w:val="21"/>
      <w:szCs w:val="21"/>
    </w:rPr>
  </w:style>
  <w:style w:type="character" w:customStyle="1" w:styleId="43">
    <w:name w:val="日期 Char"/>
    <w:link w:val="11"/>
    <w:qFormat/>
    <w:uiPriority w:val="0"/>
    <w:rPr>
      <w:kern w:val="2"/>
      <w:sz w:val="21"/>
      <w:szCs w:val="24"/>
    </w:rPr>
  </w:style>
  <w:style w:type="character" w:customStyle="1" w:styleId="44">
    <w:name w:val="正文文本 Char"/>
    <w:link w:val="2"/>
    <w:qFormat/>
    <w:uiPriority w:val="0"/>
    <w:rPr>
      <w:kern w:val="2"/>
      <w:sz w:val="21"/>
      <w:szCs w:val="24"/>
    </w:rPr>
  </w:style>
  <w:style w:type="character" w:customStyle="1" w:styleId="45">
    <w:name w:val="标题 Char"/>
    <w:link w:val="21"/>
    <w:qFormat/>
    <w:locked/>
    <w:uiPriority w:val="0"/>
    <w:rPr>
      <w:rFonts w:ascii="Cambria" w:hAnsi="Cambria"/>
      <w:b/>
      <w:bCs/>
      <w:kern w:val="2"/>
      <w:sz w:val="32"/>
      <w:szCs w:val="32"/>
    </w:rPr>
  </w:style>
  <w:style w:type="character" w:customStyle="1" w:styleId="46">
    <w:name w:val="正文首行缩进两字符 Char Char"/>
    <w:link w:val="47"/>
    <w:qFormat/>
    <w:locked/>
    <w:uiPriority w:val="99"/>
    <w:rPr>
      <w:kern w:val="2"/>
      <w:sz w:val="21"/>
    </w:rPr>
  </w:style>
  <w:style w:type="paragraph" w:customStyle="1" w:styleId="47">
    <w:name w:val="正文首行缩进两字符"/>
    <w:basedOn w:val="1"/>
    <w:link w:val="46"/>
    <w:qFormat/>
    <w:uiPriority w:val="99"/>
    <w:pPr>
      <w:spacing w:line="360" w:lineRule="auto"/>
      <w:ind w:firstLine="200" w:firstLineChars="200"/>
    </w:pPr>
    <w:rPr>
      <w:rFonts w:ascii="Times New Roman" w:hAnsi="Times New Roman"/>
      <w:szCs w:val="20"/>
    </w:rPr>
  </w:style>
  <w:style w:type="character" w:customStyle="1" w:styleId="48">
    <w:name w:val="批注文字 Char"/>
    <w:link w:val="7"/>
    <w:qFormat/>
    <w:uiPriority w:val="0"/>
    <w:rPr>
      <w:kern w:val="2"/>
      <w:sz w:val="21"/>
      <w:szCs w:val="24"/>
    </w:rPr>
  </w:style>
  <w:style w:type="character" w:customStyle="1" w:styleId="49">
    <w:name w:val="NormalCharacter"/>
    <w:qFormat/>
    <w:uiPriority w:val="0"/>
  </w:style>
  <w:style w:type="character" w:customStyle="1" w:styleId="50">
    <w:name w:val="页脚 Char"/>
    <w:link w:val="14"/>
    <w:qFormat/>
    <w:uiPriority w:val="99"/>
    <w:rPr>
      <w:kern w:val="2"/>
      <w:sz w:val="18"/>
      <w:szCs w:val="18"/>
    </w:rPr>
  </w:style>
  <w:style w:type="paragraph" w:customStyle="1" w:styleId="51">
    <w:name w:val="中等深浅网格 1 - 着色 21"/>
    <w:basedOn w:val="1"/>
    <w:qFormat/>
    <w:uiPriority w:val="34"/>
    <w:pPr>
      <w:ind w:firstLine="420" w:firstLineChars="200"/>
    </w:pPr>
    <w:rPr>
      <w:sz w:val="20"/>
      <w:szCs w:val="20"/>
    </w:rPr>
  </w:style>
  <w:style w:type="paragraph" w:customStyle="1" w:styleId="52">
    <w:name w:val="图表左对齐"/>
    <w:basedOn w:val="1"/>
    <w:qFormat/>
    <w:uiPriority w:val="0"/>
    <w:pPr>
      <w:widowControl/>
      <w:spacing w:line="360" w:lineRule="exact"/>
      <w:jc w:val="left"/>
    </w:pPr>
    <w:rPr>
      <w:spacing w:val="-10"/>
      <w:kern w:val="0"/>
      <w:sz w:val="24"/>
      <w:szCs w:val="28"/>
    </w:rPr>
  </w:style>
  <w:style w:type="character" w:customStyle="1" w:styleId="53">
    <w:name w:val="正文文本 Char1"/>
    <w:basedOn w:val="25"/>
    <w:link w:val="2"/>
    <w:qFormat/>
    <w:uiPriority w:val="0"/>
    <w:rPr>
      <w:rFonts w:ascii="Calibri" w:hAnsi="Calibri"/>
      <w:kern w:val="2"/>
      <w:sz w:val="21"/>
      <w:szCs w:val="24"/>
    </w:rPr>
  </w:style>
  <w:style w:type="character" w:customStyle="1" w:styleId="54">
    <w:name w:val="正文文本缩进 Char1"/>
    <w:basedOn w:val="25"/>
    <w:link w:val="8"/>
    <w:qFormat/>
    <w:uiPriority w:val="0"/>
    <w:rPr>
      <w:rFonts w:ascii="Calibri" w:hAnsi="Calibri"/>
      <w:kern w:val="2"/>
      <w:sz w:val="21"/>
      <w:szCs w:val="24"/>
    </w:rPr>
  </w:style>
  <w:style w:type="paragraph" w:styleId="55">
    <w:name w:val="List Paragraph"/>
    <w:basedOn w:val="1"/>
    <w:qFormat/>
    <w:uiPriority w:val="34"/>
    <w:pPr>
      <w:ind w:firstLine="420" w:firstLineChars="200"/>
    </w:pPr>
  </w:style>
  <w:style w:type="paragraph" w:customStyle="1" w:styleId="5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5"/>
    <w:link w:val="21"/>
    <w:qFormat/>
    <w:uiPriority w:val="0"/>
    <w:rPr>
      <w:rFonts w:asciiTheme="majorHAnsi" w:hAnsiTheme="majorHAnsi" w:cstheme="majorBidi"/>
      <w:b/>
      <w:bCs/>
      <w:kern w:val="2"/>
      <w:sz w:val="32"/>
      <w:szCs w:val="32"/>
    </w:rPr>
  </w:style>
  <w:style w:type="character" w:customStyle="1" w:styleId="58">
    <w:name w:val="正文文本缩进 2 Char"/>
    <w:basedOn w:val="25"/>
    <w:link w:val="12"/>
    <w:qFormat/>
    <w:uiPriority w:val="0"/>
    <w:rPr>
      <w:rFonts w:ascii="Calibri" w:hAnsi="Calibri"/>
      <w:kern w:val="2"/>
      <w:sz w:val="21"/>
      <w:szCs w:val="24"/>
    </w:rPr>
  </w:style>
  <w:style w:type="character" w:customStyle="1" w:styleId="59">
    <w:name w:val="日期 Char1"/>
    <w:basedOn w:val="25"/>
    <w:link w:val="11"/>
    <w:qFormat/>
    <w:uiPriority w:val="0"/>
    <w:rPr>
      <w:rFonts w:ascii="Calibri" w:hAnsi="Calibri"/>
      <w:kern w:val="2"/>
      <w:sz w:val="21"/>
      <w:szCs w:val="24"/>
    </w:rPr>
  </w:style>
  <w:style w:type="character" w:customStyle="1" w:styleId="60">
    <w:name w:val="批注文字 Char1"/>
    <w:basedOn w:val="25"/>
    <w:link w:val="7"/>
    <w:qFormat/>
    <w:uiPriority w:val="0"/>
    <w:rPr>
      <w:rFonts w:ascii="Calibri" w:hAnsi="Calibri"/>
      <w:kern w:val="2"/>
      <w:sz w:val="21"/>
      <w:szCs w:val="24"/>
    </w:rPr>
  </w:style>
  <w:style w:type="paragraph" w:customStyle="1" w:styleId="61">
    <w:name w:val="样式 首行缩进:  2 字符"/>
    <w:basedOn w:val="1"/>
    <w:qFormat/>
    <w:uiPriority w:val="0"/>
    <w:pPr>
      <w:spacing w:line="400" w:lineRule="exact"/>
      <w:ind w:firstLine="200" w:firstLineChars="200"/>
    </w:pPr>
    <w:rPr>
      <w:rFonts w:cs="宋体"/>
      <w:sz w:val="24"/>
    </w:rPr>
  </w:style>
  <w:style w:type="paragraph" w:styleId="6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qFormat/>
    <w:uiPriority w:val="0"/>
    <w:rPr>
      <w:rFonts w:ascii="Tahoma" w:hAnsi="Tahoma"/>
      <w:sz w:val="24"/>
      <w:szCs w:val="20"/>
    </w:rPr>
  </w:style>
  <w:style w:type="paragraph" w:customStyle="1" w:styleId="64">
    <w:name w:val="p0"/>
    <w:basedOn w:val="1"/>
    <w:qFormat/>
    <w:uiPriority w:val="99"/>
    <w:pPr>
      <w:widowControl/>
    </w:pPr>
    <w:rPr>
      <w:kern w:val="0"/>
      <w:szCs w:val="20"/>
    </w:rPr>
  </w:style>
  <w:style w:type="character" w:customStyle="1" w:styleId="65">
    <w:name w:val="批注主题 Char1"/>
    <w:basedOn w:val="60"/>
    <w:link w:val="22"/>
    <w:qFormat/>
    <w:uiPriority w:val="0"/>
    <w:rPr>
      <w:b/>
      <w:bCs/>
    </w:rPr>
  </w:style>
  <w:style w:type="paragraph" w:customStyle="1" w:styleId="66">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5"/>
    <w:link w:val="14"/>
    <w:qFormat/>
    <w:uiPriority w:val="0"/>
    <w:rPr>
      <w:rFonts w:ascii="Calibri" w:hAnsi="Calibri"/>
      <w:kern w:val="2"/>
      <w:sz w:val="18"/>
      <w:szCs w:val="18"/>
    </w:rPr>
  </w:style>
  <w:style w:type="character" w:customStyle="1" w:styleId="69">
    <w:name w:val="批注框文本 Char1"/>
    <w:basedOn w:val="25"/>
    <w:link w:val="13"/>
    <w:qFormat/>
    <w:uiPriority w:val="0"/>
    <w:rPr>
      <w:rFonts w:ascii="Calibri" w:hAnsi="Calibri"/>
      <w:kern w:val="2"/>
      <w:sz w:val="18"/>
      <w:szCs w:val="18"/>
    </w:rPr>
  </w:style>
  <w:style w:type="character" w:customStyle="1" w:styleId="70">
    <w:name w:val="纯文本 Char2"/>
    <w:basedOn w:val="25"/>
    <w:link w:val="10"/>
    <w:qFormat/>
    <w:uiPriority w:val="0"/>
    <w:rPr>
      <w:rFonts w:ascii="宋体" w:hAnsi="Courier New" w:cs="Courier New"/>
      <w:kern w:val="2"/>
      <w:sz w:val="21"/>
      <w:szCs w:val="21"/>
    </w:rPr>
  </w:style>
  <w:style w:type="paragraph" w:customStyle="1" w:styleId="71">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5"/>
    <w:link w:val="15"/>
    <w:qFormat/>
    <w:uiPriority w:val="0"/>
    <w:rPr>
      <w:rFonts w:ascii="Calibri" w:hAnsi="Calibri"/>
      <w:kern w:val="2"/>
      <w:sz w:val="18"/>
      <w:szCs w:val="18"/>
    </w:rPr>
  </w:style>
  <w:style w:type="paragraph" w:customStyle="1" w:styleId="73">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qFormat/>
    <w:uiPriority w:val="0"/>
    <w:pPr>
      <w:ind w:firstLine="420" w:firstLineChars="200"/>
    </w:pPr>
    <w:rPr>
      <w:rFonts w:ascii="Calibri" w:hAnsi="Calibri"/>
      <w:szCs w:val="22"/>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表格"/>
    <w:basedOn w:val="1"/>
    <w:qFormat/>
    <w:uiPriority w:val="0"/>
    <w:pPr>
      <w:spacing w:line="400" w:lineRule="exact"/>
    </w:pPr>
    <w:rPr>
      <w:sz w:val="24"/>
    </w:rPr>
  </w:style>
  <w:style w:type="character" w:customStyle="1" w:styleId="79">
    <w:name w:val="font41"/>
    <w:basedOn w:val="25"/>
    <w:qFormat/>
    <w:uiPriority w:val="0"/>
    <w:rPr>
      <w:rFonts w:hint="eastAsia" w:ascii="宋体" w:hAnsi="宋体" w:eastAsia="宋体" w:cs="宋体"/>
      <w:color w:val="FF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12773</Words>
  <Characters>13173</Characters>
  <Lines>102</Lines>
  <Paragraphs>28</Paragraphs>
  <TotalTime>2</TotalTime>
  <ScaleCrop>false</ScaleCrop>
  <LinksUpToDate>false</LinksUpToDate>
  <CharactersWithSpaces>14591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张素琼</cp:lastModifiedBy>
  <cp:lastPrinted>2023-07-05T08:17:00Z</cp:lastPrinted>
  <dcterms:modified xsi:type="dcterms:W3CDTF">2023-08-07T09:12:50Z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F47F42B6397243A990682B8866FFC27D</vt:lpwstr>
  </property>
</Properties>
</file>