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cs="Arial"/>
          <w:bCs w:val="0"/>
          <w:sz w:val="44"/>
          <w:szCs w:val="44"/>
        </w:rPr>
      </w:pPr>
      <w:r>
        <w:rPr>
          <w:rFonts w:cs="Arial"/>
          <w:bCs w:val="0"/>
          <w:sz w:val="44"/>
          <w:szCs w:val="44"/>
        </w:rPr>
        <w:t>三台县</w:t>
      </w:r>
      <w:r>
        <w:rPr>
          <w:rFonts w:hint="eastAsia" w:cs="Arial"/>
          <w:bCs w:val="0"/>
          <w:sz w:val="44"/>
          <w:szCs w:val="44"/>
          <w:lang w:val="en-US" w:eastAsia="zh-CN"/>
        </w:rPr>
        <w:t>人民医院体检楼安全性鉴定</w:t>
      </w:r>
      <w:r>
        <w:rPr>
          <w:rFonts w:cs="Arial"/>
          <w:bCs w:val="0"/>
          <w:sz w:val="44"/>
          <w:szCs w:val="44"/>
        </w:rPr>
        <w:t>采购</w:t>
      </w: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2"/>
        <w:rPr>
          <w:rFonts w:hint="eastAsia"/>
        </w:rPr>
      </w:pPr>
    </w:p>
    <w:p>
      <w:pPr>
        <w:spacing w:line="900" w:lineRule="exact"/>
        <w:ind w:firstLine="2409" w:firstLineChars="800"/>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eastAsia" w:ascii="宋体" w:hAnsi="宋体"/>
          <w:b/>
          <w:color w:val="000000"/>
          <w:sz w:val="30"/>
          <w:szCs w:val="30"/>
          <w:u w:val="single"/>
        </w:rPr>
      </w:pPr>
    </w:p>
    <w:p>
      <w:pPr>
        <w:spacing w:line="900" w:lineRule="exact"/>
        <w:ind w:firstLine="3614" w:firstLineChars="1200"/>
        <w:rPr>
          <w:rFonts w:hint="eastAsia" w:ascii="宋体" w:hAnsi="宋体"/>
          <w:b/>
          <w:color w:val="000000"/>
          <w:sz w:val="30"/>
          <w:szCs w:val="30"/>
        </w:rPr>
      </w:pPr>
      <w:r>
        <w:rPr>
          <w:rFonts w:hint="eastAsia" w:ascii="宋体" w:hAnsi="宋体"/>
          <w:b/>
          <w:color w:val="000000"/>
          <w:sz w:val="30"/>
          <w:szCs w:val="30"/>
        </w:rPr>
        <w:t>202</w:t>
      </w:r>
      <w:r>
        <w:rPr>
          <w:rFonts w:hint="eastAsia" w:ascii="宋体" w:hAnsi="宋体"/>
          <w:b/>
          <w:color w:val="000000"/>
          <w:sz w:val="30"/>
          <w:szCs w:val="30"/>
          <w:lang w:val="en-US" w:eastAsia="zh-CN"/>
        </w:rPr>
        <w:t>3</w:t>
      </w:r>
      <w:r>
        <w:rPr>
          <w:rFonts w:hint="eastAsia" w:ascii="宋体" w:hAnsi="宋体"/>
          <w:b/>
          <w:color w:val="000000"/>
          <w:sz w:val="30"/>
          <w:szCs w:val="30"/>
        </w:rPr>
        <w:t>年</w:t>
      </w:r>
      <w:r>
        <w:rPr>
          <w:rFonts w:ascii="宋体" w:hAnsi="宋体"/>
          <w:b/>
          <w:color w:val="000000"/>
          <w:sz w:val="30"/>
          <w:szCs w:val="30"/>
        </w:rPr>
        <w:t xml:space="preserve"> </w:t>
      </w:r>
      <w:r>
        <w:rPr>
          <w:rFonts w:hint="eastAsia" w:ascii="宋体" w:hAnsi="宋体"/>
          <w:b/>
          <w:color w:val="000000"/>
          <w:sz w:val="30"/>
          <w:szCs w:val="30"/>
          <w:lang w:val="en-US" w:eastAsia="zh-CN"/>
        </w:rPr>
        <w:t>9</w:t>
      </w:r>
      <w:r>
        <w:rPr>
          <w:rFonts w:hint="eastAsia" w:ascii="宋体" w:hAnsi="宋体"/>
          <w:b/>
          <w:color w:val="000000"/>
          <w:sz w:val="30"/>
          <w:szCs w:val="30"/>
        </w:rPr>
        <w:t>月</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spacing w:after="240"/>
        <w:jc w:val="center"/>
        <w:rPr>
          <w:rFonts w:hint="eastAsia" w:ascii="宋体" w:hAnsi="宋体"/>
          <w:b/>
          <w:color w:val="000000"/>
          <w:sz w:val="36"/>
          <w:szCs w:val="36"/>
        </w:rPr>
      </w:pPr>
    </w:p>
    <w:p>
      <w:pPr>
        <w:jc w:val="both"/>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ind w:firstLine="2891" w:firstLineChars="900"/>
        <w:jc w:val="both"/>
        <w:rPr>
          <w:rFonts w:hint="eastAsia" w:ascii="宋体" w:hAnsi="宋体"/>
          <w:b/>
          <w:color w:val="000000"/>
          <w:sz w:val="32"/>
          <w:szCs w:val="32"/>
        </w:rPr>
      </w:pPr>
      <w:r>
        <w:rPr>
          <w:rFonts w:hint="eastAsia" w:ascii="宋体" w:hAnsi="宋体"/>
          <w:b/>
          <w:color w:val="000000"/>
          <w:sz w:val="32"/>
          <w:szCs w:val="32"/>
        </w:rPr>
        <w:t>第一章、磋商邀请</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jc w:val="left"/>
        <w:textAlignment w:val="auto"/>
        <w:rPr>
          <w:rFonts w:hint="eastAsia" w:ascii="宋体" w:hAnsi="宋体"/>
          <w:b w:val="0"/>
          <w:bCs w:val="0"/>
          <w:color w:val="000000"/>
          <w:sz w:val="56"/>
          <w:szCs w:val="36"/>
          <w:u w:val="single"/>
        </w:rPr>
      </w:pPr>
      <w:r>
        <w:rPr>
          <w:rFonts w:hint="eastAsia"/>
          <w:b w:val="0"/>
          <w:bCs w:val="0"/>
          <w:color w:val="000000"/>
          <w:sz w:val="28"/>
          <w:szCs w:val="28"/>
          <w:lang w:val="en-US" w:eastAsia="zh-CN"/>
        </w:rPr>
        <w:t xml:space="preserve">   </w:t>
      </w:r>
      <w:r>
        <w:rPr>
          <w:rFonts w:hint="eastAsia" w:ascii="宋体" w:hAnsi="宋体"/>
          <w:b w:val="0"/>
          <w:bCs w:val="0"/>
          <w:color w:val="000000"/>
          <w:sz w:val="28"/>
          <w:szCs w:val="28"/>
        </w:rPr>
        <w:t>我院根据工作需要，拟对</w:t>
      </w:r>
      <w:r>
        <w:rPr>
          <w:rFonts w:hint="eastAsia" w:ascii="宋体" w:hAnsi="宋体"/>
          <w:b w:val="0"/>
          <w:bCs w:val="0"/>
          <w:color w:val="000000"/>
          <w:sz w:val="28"/>
          <w:szCs w:val="28"/>
          <w:u w:val="single"/>
        </w:rPr>
        <w:t>三台县</w:t>
      </w:r>
      <w:r>
        <w:rPr>
          <w:rFonts w:hint="eastAsia" w:ascii="宋体" w:hAnsi="宋体"/>
          <w:b w:val="0"/>
          <w:bCs w:val="0"/>
          <w:color w:val="000000"/>
          <w:sz w:val="28"/>
          <w:szCs w:val="28"/>
          <w:u w:val="single"/>
          <w:lang w:val="en-US" w:eastAsia="zh-CN"/>
        </w:rPr>
        <w:t>人民医院体检楼安全性鉴定</w:t>
      </w: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460" w:lineRule="exact"/>
        <w:ind w:left="839" w:leftChars="266" w:hanging="280" w:hangingChars="100"/>
        <w:jc w:val="left"/>
        <w:textAlignment w:val="auto"/>
        <w:rPr>
          <w:rFonts w:hint="eastAsia" w:ascii="宋体" w:hAnsi="宋体"/>
          <w:color w:val="000000"/>
          <w:sz w:val="28"/>
          <w:szCs w:val="28"/>
        </w:rPr>
      </w:pPr>
      <w:r>
        <w:rPr>
          <w:rFonts w:hint="eastAsia" w:ascii="宋体" w:hAnsi="宋体"/>
          <w:color w:val="000000"/>
          <w:sz w:val="28"/>
          <w:szCs w:val="28"/>
        </w:rPr>
        <w:t>1.项目名称：</w:t>
      </w:r>
      <w:r>
        <w:rPr>
          <w:rFonts w:hint="eastAsia" w:ascii="宋体" w:hAnsi="宋体"/>
          <w:bCs w:val="0"/>
          <w:color w:val="000000"/>
          <w:sz w:val="28"/>
          <w:szCs w:val="28"/>
        </w:rPr>
        <w:t>三台县</w:t>
      </w:r>
      <w:r>
        <w:rPr>
          <w:rFonts w:hint="eastAsia" w:ascii="宋体" w:hAnsi="宋体"/>
          <w:bCs w:val="0"/>
          <w:color w:val="000000"/>
          <w:sz w:val="28"/>
          <w:szCs w:val="28"/>
          <w:lang w:val="en-US" w:eastAsia="zh-CN"/>
        </w:rPr>
        <w:t>人民医院体检楼安全性鉴定采购项目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2.采购人：三台县人民医院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二、供应商参加本次采购活动应具备下列条件</w:t>
      </w:r>
      <w:bookmarkStart w:id="4" w:name="_GoBack"/>
      <w:bookmarkEnd w:id="4"/>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6.具备行政主管部门颁发的“建设工程质量检测机构资质证书（含主体结构检测）或建筑设计乙级及以上资质”；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7.本次竞争性磋商不接受联合体参与；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8.供应商及其现任法定代表人、主要负责人无行贿犯罪记录。</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三、报名要求：请潜在供应商致电三台县人民医院采购办报名，报名电话：0816-5222252，联系人：云老师、邹老师；报名时间：2023年</w:t>
      </w:r>
      <w:r>
        <w:rPr>
          <w:rFonts w:hint="eastAsia"/>
          <w:bCs/>
          <w:color w:val="000000" w:themeColor="text1"/>
          <w:sz w:val="28"/>
          <w:szCs w:val="28"/>
          <w:lang w:val="en-US" w:eastAsia="zh-CN"/>
          <w14:textFill>
            <w14:solidFill>
              <w14:schemeClr w14:val="tx1"/>
            </w14:solidFill>
          </w14:textFill>
        </w:rPr>
        <w:t>9</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13</w:t>
      </w:r>
      <w:r>
        <w:rPr>
          <w:rFonts w:hint="eastAsia" w:ascii="宋体" w:hAnsi="宋体"/>
          <w:bCs/>
          <w:color w:val="000000" w:themeColor="text1"/>
          <w:sz w:val="28"/>
          <w:szCs w:val="28"/>
          <w14:textFill>
            <w14:solidFill>
              <w14:schemeClr w14:val="tx1"/>
            </w14:solidFill>
          </w14:textFill>
        </w:rPr>
        <w:t>日至2023年9月1</w:t>
      </w:r>
      <w:r>
        <w:rPr>
          <w:rFonts w:hint="eastAsia"/>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日8：00～12：00、14：30～18：00（北京时间，法定节假日除外）。</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递交响应文件截止时间：202</w:t>
      </w:r>
      <w:r>
        <w:rPr>
          <w:rFonts w:hint="eastAsia" w:ascii="宋体" w:hAnsi="宋体"/>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9</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20</w:t>
      </w:r>
      <w:r>
        <w:rPr>
          <w:rFonts w:hint="eastAsia" w:ascii="宋体" w:hAnsi="宋体"/>
          <w:bCs/>
          <w:color w:val="000000" w:themeColor="text1"/>
          <w:sz w:val="28"/>
          <w:szCs w:val="28"/>
          <w14:textFill>
            <w14:solidFill>
              <w14:schemeClr w14:val="tx1"/>
            </w14:solidFill>
          </w14:textFill>
        </w:rPr>
        <w:t>日1</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9</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20</w:t>
      </w:r>
      <w:r>
        <w:rPr>
          <w:rFonts w:hint="eastAsia" w:ascii="宋体" w:hAnsi="宋体"/>
          <w:bCs/>
          <w:color w:val="000000" w:themeColor="text1"/>
          <w:sz w:val="28"/>
          <w:szCs w:val="28"/>
          <w14:textFill>
            <w14:solidFill>
              <w14:schemeClr w14:val="tx1"/>
            </w14:solidFill>
          </w14:textFill>
        </w:rPr>
        <w:t>日15：00。</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bCs/>
          <w:color w:val="FF0000"/>
          <w:sz w:val="28"/>
          <w:szCs w:val="28"/>
        </w:rPr>
      </w:pPr>
      <w:r>
        <w:rPr>
          <w:rFonts w:hint="eastAsia" w:ascii="宋体" w:hAnsi="宋体"/>
          <w:bCs/>
          <w:color w:val="000000" w:themeColor="text1"/>
          <w:sz w:val="28"/>
          <w:szCs w:val="28"/>
          <w:lang w:eastAsia="zh-CN"/>
          <w14:textFill>
            <w14:solidFill>
              <w14:schemeClr w14:val="tx1"/>
            </w14:solidFill>
          </w14:textFill>
        </w:rPr>
        <w:t>七、</w:t>
      </w: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采购人：三台县人民医</w:t>
      </w:r>
      <w:r>
        <w:rPr>
          <w:rFonts w:hint="eastAsia" w:ascii="宋体" w:hAnsi="宋体"/>
          <w:color w:val="000000"/>
          <w:sz w:val="28"/>
          <w:szCs w:val="28"/>
          <w:lang w:eastAsia="zh-CN"/>
        </w:rPr>
        <w:t>院</w:t>
      </w:r>
    </w:p>
    <w:p>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lang w:val="en-US"/>
        </w:rPr>
      </w:pPr>
      <w:r>
        <w:rPr>
          <w:rFonts w:hint="eastAsia" w:ascii="宋体" w:hAnsi="宋体"/>
          <w:color w:val="000000"/>
          <w:sz w:val="28"/>
          <w:szCs w:val="28"/>
          <w:lang w:eastAsia="zh-CN"/>
        </w:rPr>
        <w:t>九、项目咨询人、联系电话：贾老师</w:t>
      </w:r>
      <w:r>
        <w:rPr>
          <w:rFonts w:hint="eastAsia" w:ascii="宋体" w:hAnsi="宋体"/>
          <w:color w:val="000000"/>
          <w:sz w:val="28"/>
          <w:szCs w:val="28"/>
          <w:lang w:val="en-US" w:eastAsia="zh-CN"/>
        </w:rPr>
        <w:t xml:space="preserve"> </w:t>
      </w:r>
      <w:r>
        <w:rPr>
          <w:rFonts w:hint="eastAsia" w:ascii="宋体" w:hAnsi="宋体"/>
          <w:color w:val="000000"/>
          <w:sz w:val="28"/>
          <w:szCs w:val="28"/>
          <w:lang w:val="en-US" w:eastAsia="zh-CN"/>
        </w:rPr>
        <w:tab/>
      </w:r>
      <w:r>
        <w:rPr>
          <w:rFonts w:hint="eastAsia" w:ascii="宋体" w:hAnsi="宋体"/>
          <w:color w:val="000000"/>
          <w:sz w:val="28"/>
          <w:szCs w:val="28"/>
          <w:lang w:val="en-US" w:eastAsia="zh-CN"/>
        </w:rPr>
        <w:t>15281675867</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160" w:firstLineChars="2200"/>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3</w:t>
      </w:r>
      <w:r>
        <w:rPr>
          <w:rFonts w:hint="eastAsia" w:ascii="宋体" w:hAnsi="宋体" w:cs="仿宋_GB2312"/>
          <w:color w:val="000000"/>
          <w:sz w:val="28"/>
          <w:szCs w:val="28"/>
        </w:rPr>
        <w:t xml:space="preserve"> 年</w:t>
      </w:r>
      <w:r>
        <w:rPr>
          <w:rFonts w:hint="eastAsia" w:ascii="宋体" w:hAnsi="宋体" w:cs="仿宋_GB2312"/>
          <w:color w:val="000000"/>
          <w:sz w:val="28"/>
          <w:szCs w:val="28"/>
          <w:lang w:val="en-US" w:eastAsia="zh-CN"/>
        </w:rPr>
        <w:t>9月12</w:t>
      </w:r>
      <w:r>
        <w:rPr>
          <w:rFonts w:hint="eastAsia" w:ascii="宋体" w:hAnsi="宋体"/>
          <w:color w:val="000000"/>
          <w:sz w:val="28"/>
          <w:szCs w:val="28"/>
        </w:rPr>
        <w:t>日</w:t>
      </w:r>
    </w:p>
    <w:p>
      <w:pPr>
        <w:spacing w:line="520" w:lineRule="exact"/>
        <w:ind w:right="640"/>
        <w:jc w:val="center"/>
        <w:rPr>
          <w:rFonts w:hint="eastAsia"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bCs w:val="0"/>
          <w:color w:val="000000"/>
          <w:sz w:val="28"/>
          <w:szCs w:val="28"/>
          <w:u w:val="single"/>
        </w:rPr>
        <w:t>三台县</w:t>
      </w:r>
      <w:r>
        <w:rPr>
          <w:rFonts w:hint="eastAsia" w:ascii="宋体" w:hAnsi="宋体"/>
          <w:bCs w:val="0"/>
          <w:color w:val="000000"/>
          <w:sz w:val="28"/>
          <w:szCs w:val="28"/>
          <w:u w:val="single"/>
          <w:lang w:val="en-US" w:eastAsia="zh-CN"/>
        </w:rPr>
        <w:t>人民医院体检楼安全性鉴定</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一、采购人</w:t>
      </w:r>
    </w:p>
    <w:p>
      <w:pPr>
        <w:keepNext w:val="0"/>
        <w:keepLines w:val="0"/>
        <w:pageBreakBefore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三台县人民医院</w:t>
      </w:r>
    </w:p>
    <w:p>
      <w:pPr>
        <w:keepNext w:val="0"/>
        <w:keepLines w:val="0"/>
        <w:pageBreakBefore w:val="0"/>
        <w:numPr>
          <w:ilvl w:val="0"/>
          <w:numId w:val="0"/>
        </w:numPr>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p>
    <w:p>
      <w:pPr>
        <w:pStyle w:val="13"/>
        <w:keepNext w:val="0"/>
        <w:keepLines w:val="0"/>
        <w:pageBreakBefore w:val="0"/>
        <w:shd w:val="clear" w:color="auto" w:fill="FFFFFF"/>
        <w:kinsoku/>
        <w:wordWrap/>
        <w:overflowPunct/>
        <w:topLinePunct w:val="0"/>
        <w:bidi w:val="0"/>
        <w:snapToGrid/>
        <w:spacing w:before="0" w:beforeAutospacing="0" w:after="0" w:afterAutospacing="0" w:line="460" w:lineRule="exact"/>
        <w:ind w:left="-420" w:firstLine="635"/>
        <w:textAlignment w:val="auto"/>
        <w:rPr>
          <w:rFonts w:cs="Times New Roman"/>
          <w:bCs/>
          <w:color w:val="000000"/>
          <w:sz w:val="28"/>
          <w:szCs w:val="28"/>
        </w:rPr>
      </w:pPr>
      <w:r>
        <w:rPr>
          <w:rFonts w:hint="eastAsia" w:cs="Times New Roman"/>
          <w:bCs/>
          <w:color w:val="000000"/>
          <w:sz w:val="28"/>
          <w:szCs w:val="28"/>
        </w:rPr>
        <w:t xml:space="preserve"> </w:t>
      </w:r>
      <w:r>
        <w:rPr>
          <w:rFonts w:hint="eastAsia" w:ascii="宋体" w:hAnsi="宋体"/>
          <w:bCs w:val="0"/>
          <w:color w:val="000000"/>
          <w:sz w:val="28"/>
          <w:szCs w:val="28"/>
        </w:rPr>
        <w:t>三台县人民医院体检楼安全性鉴定采购项目</w:t>
      </w:r>
    </w:p>
    <w:p>
      <w:pPr>
        <w:keepNext w:val="0"/>
        <w:keepLines w:val="0"/>
        <w:pageBreakBefore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三、服务内容</w:t>
      </w:r>
      <w:r>
        <w:rPr>
          <w:rFonts w:hint="eastAsia" w:ascii="宋体" w:hAnsi="宋体" w:cs="宋体"/>
          <w:b/>
          <w:bCs/>
          <w:color w:val="000000"/>
          <w:kern w:val="0"/>
          <w:sz w:val="28"/>
          <w:szCs w:val="28"/>
          <w:lang w:val="en-US" w:eastAsia="zh-CN"/>
        </w:rPr>
        <w:t>及期限</w:t>
      </w:r>
    </w:p>
    <w:p>
      <w:pPr>
        <w:pStyle w:val="13"/>
        <w:keepNext w:val="0"/>
        <w:keepLines w:val="0"/>
        <w:pageBreakBefore w:val="0"/>
        <w:shd w:val="clear" w:color="auto" w:fill="FFFFFF"/>
        <w:kinsoku/>
        <w:wordWrap/>
        <w:overflowPunct/>
        <w:topLinePunct w:val="0"/>
        <w:bidi w:val="0"/>
        <w:snapToGrid/>
        <w:spacing w:before="0" w:beforeAutospacing="0" w:after="0" w:afterAutospacing="0" w:line="460" w:lineRule="exact"/>
        <w:ind w:firstLine="560" w:firstLineChars="200"/>
        <w:textAlignment w:val="auto"/>
        <w:rPr>
          <w:rFonts w:hint="default" w:eastAsia="宋体" w:cs="Times New Roman"/>
          <w:bCs/>
          <w:color w:val="000000"/>
          <w:sz w:val="28"/>
          <w:szCs w:val="28"/>
          <w:u w:val="none"/>
          <w:lang w:val="en-US" w:eastAsia="zh-CN"/>
        </w:rPr>
      </w:pPr>
      <w:r>
        <w:rPr>
          <w:rFonts w:hint="eastAsia" w:cs="Times New Roman"/>
          <w:color w:val="000000"/>
          <w:sz w:val="28"/>
          <w:szCs w:val="28"/>
          <w:lang w:val="en-US" w:eastAsia="zh-CN"/>
        </w:rPr>
        <w:t>1.</w:t>
      </w:r>
      <w:r>
        <w:rPr>
          <w:rFonts w:hint="eastAsia" w:eastAsia="宋体" w:cs="Times New Roman"/>
          <w:color w:val="000000"/>
          <w:sz w:val="28"/>
          <w:szCs w:val="28"/>
          <w:lang w:val="en-US" w:eastAsia="zh-CN"/>
        </w:rPr>
        <w:t>服务内容：</w:t>
      </w:r>
      <w:r>
        <w:rPr>
          <w:rFonts w:hint="eastAsia" w:ascii="宋体" w:hAnsi="宋体"/>
          <w:bCs w:val="0"/>
          <w:color w:val="000000"/>
          <w:sz w:val="28"/>
          <w:szCs w:val="28"/>
          <w:u w:val="single"/>
        </w:rPr>
        <w:t>三台县</w:t>
      </w:r>
      <w:r>
        <w:rPr>
          <w:rFonts w:hint="eastAsia" w:ascii="宋体" w:hAnsi="宋体"/>
          <w:bCs w:val="0"/>
          <w:color w:val="000000"/>
          <w:sz w:val="28"/>
          <w:szCs w:val="28"/>
          <w:u w:val="single"/>
          <w:lang w:val="en-US" w:eastAsia="zh-CN"/>
        </w:rPr>
        <w:t>人民医院体检楼安全性鉴定</w:t>
      </w:r>
      <w:r>
        <w:rPr>
          <w:rFonts w:hint="eastAsia"/>
          <w:bCs w:val="0"/>
          <w:color w:val="000000"/>
          <w:sz w:val="28"/>
          <w:szCs w:val="28"/>
          <w:u w:val="single"/>
          <w:lang w:val="en-US" w:eastAsia="zh-CN"/>
        </w:rPr>
        <w:t>并出具鉴定报告。</w:t>
      </w:r>
    </w:p>
    <w:p>
      <w:pPr>
        <w:pStyle w:val="13"/>
        <w:keepNext w:val="0"/>
        <w:keepLines w:val="0"/>
        <w:pageBreakBefore w:val="0"/>
        <w:shd w:val="clear" w:color="auto" w:fill="FFFFFF"/>
        <w:kinsoku/>
        <w:wordWrap/>
        <w:overflowPunct/>
        <w:topLinePunct w:val="0"/>
        <w:bidi w:val="0"/>
        <w:snapToGrid/>
        <w:spacing w:before="0" w:beforeAutospacing="0" w:after="0" w:afterAutospacing="0" w:line="460" w:lineRule="exact"/>
        <w:ind w:firstLine="560" w:firstLineChars="200"/>
        <w:textAlignment w:val="auto"/>
        <w:rPr>
          <w:rFonts w:hint="eastAsia" w:eastAsia="宋体" w:cs="Times New Roman"/>
          <w:bCs/>
          <w:color w:val="000000"/>
          <w:sz w:val="28"/>
          <w:szCs w:val="28"/>
          <w:u w:val="none"/>
          <w:lang w:val="en-US" w:eastAsia="zh-CN"/>
        </w:rPr>
      </w:pPr>
      <w:r>
        <w:rPr>
          <w:rFonts w:hint="eastAsia" w:cs="Times New Roman"/>
          <w:b w:val="0"/>
          <w:bCs w:val="0"/>
          <w:color w:val="000000"/>
          <w:sz w:val="28"/>
          <w:szCs w:val="28"/>
          <w:lang w:val="en-US" w:eastAsia="zh-CN"/>
        </w:rPr>
        <w:t>2.</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：15</w:t>
      </w:r>
      <w:r>
        <w:rPr>
          <w:rFonts w:hint="eastAsia" w:cs="Times New Roman"/>
          <w:bCs/>
          <w:color w:val="000000"/>
          <w:sz w:val="28"/>
          <w:szCs w:val="28"/>
          <w:u w:val="none"/>
          <w:lang w:val="en-US" w:eastAsia="zh-CN"/>
        </w:rPr>
        <w:t>个工作日。</w:t>
      </w:r>
    </w:p>
    <w:p>
      <w:pPr>
        <w:pStyle w:val="13"/>
        <w:keepNext w:val="0"/>
        <w:keepLines w:val="0"/>
        <w:pageBreakBefore w:val="0"/>
        <w:shd w:val="clear" w:color="auto" w:fill="FFFFFF"/>
        <w:kinsoku/>
        <w:wordWrap/>
        <w:overflowPunct/>
        <w:topLinePunct w:val="0"/>
        <w:bidi w:val="0"/>
        <w:snapToGrid/>
        <w:spacing w:before="0" w:beforeAutospacing="0" w:after="0" w:afterAutospacing="0" w:line="460" w:lineRule="exact"/>
        <w:ind w:firstLine="562" w:firstLineChars="200"/>
        <w:textAlignment w:val="auto"/>
        <w:rPr>
          <w:rFonts w:hint="eastAsia"/>
          <w:b/>
          <w:bCs/>
          <w:color w:val="000000"/>
          <w:sz w:val="28"/>
          <w:szCs w:val="28"/>
        </w:rPr>
      </w:pPr>
      <w:r>
        <w:rPr>
          <w:rFonts w:hint="eastAsia"/>
          <w:b/>
          <w:bCs/>
          <w:color w:val="000000"/>
          <w:sz w:val="28"/>
          <w:szCs w:val="28"/>
        </w:rPr>
        <w:t>四、</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bCs/>
          <w:color w:val="auto"/>
          <w:sz w:val="28"/>
          <w:szCs w:val="28"/>
        </w:rPr>
      </w:pPr>
      <w:r>
        <w:rPr>
          <w:rFonts w:hint="eastAsia" w:ascii="宋体" w:hAnsi="宋体" w:cs="宋体"/>
          <w:color w:val="auto"/>
          <w:kern w:val="0"/>
          <w:sz w:val="28"/>
          <w:szCs w:val="28"/>
          <w:lang w:val="en-US" w:eastAsia="zh-CN"/>
        </w:rPr>
        <w:t>1.控制价：</w:t>
      </w:r>
      <w:r>
        <w:rPr>
          <w:rFonts w:hint="eastAsia" w:ascii="宋体" w:hAnsi="宋体" w:cs="宋体"/>
          <w:color w:val="auto"/>
          <w:kern w:val="0"/>
          <w:sz w:val="28"/>
          <w:szCs w:val="28"/>
        </w:rPr>
        <w:t>本项目采购控制价为</w:t>
      </w:r>
      <w:r>
        <w:rPr>
          <w:rFonts w:ascii="宋体" w:hAnsi="宋体" w:cs="宋体"/>
          <w:color w:val="auto"/>
          <w:kern w:val="0"/>
          <w:sz w:val="28"/>
          <w:szCs w:val="28"/>
        </w:rPr>
        <w:t xml:space="preserve"> </w:t>
      </w:r>
      <w:r>
        <w:rPr>
          <w:rFonts w:hint="eastAsia" w:ascii="宋体" w:hAnsi="宋体" w:cs="宋体"/>
          <w:color w:val="auto"/>
          <w:kern w:val="0"/>
          <w:sz w:val="28"/>
          <w:szCs w:val="28"/>
          <w:u w:val="single"/>
          <w:lang w:val="en-US" w:eastAsia="zh-CN"/>
        </w:rPr>
        <w:t>8</w:t>
      </w:r>
      <w:r>
        <w:rPr>
          <w:rFonts w:hint="eastAsia" w:ascii="宋体" w:hAnsi="宋体" w:cs="宋体"/>
          <w:color w:val="auto"/>
          <w:kern w:val="0"/>
          <w:sz w:val="28"/>
          <w:szCs w:val="28"/>
        </w:rPr>
        <w:t>万元，供应商的报价包含</w:t>
      </w:r>
      <w:bookmarkStart w:id="0" w:name="_Hlk89248287"/>
      <w:r>
        <w:rPr>
          <w:rFonts w:hint="eastAsia" w:ascii="宋体" w:hAnsi="宋体" w:cs="宋体"/>
          <w:color w:val="auto"/>
          <w:kern w:val="0"/>
          <w:sz w:val="28"/>
          <w:szCs w:val="28"/>
          <w:lang w:eastAsia="zh-CN"/>
        </w:rPr>
        <w:t>：</w:t>
      </w:r>
      <w:r>
        <w:rPr>
          <w:rFonts w:hint="eastAsia" w:ascii="宋体" w:hAnsi="宋体"/>
          <w:bCs/>
          <w:color w:val="auto"/>
          <w:sz w:val="28"/>
          <w:szCs w:val="28"/>
        </w:rPr>
        <w:t>成本、利润、风险费、税金等。</w:t>
      </w:r>
      <w:bookmarkEnd w:id="0"/>
    </w:p>
    <w:p>
      <w:pPr>
        <w:pStyle w:val="2"/>
        <w:keepNext w:val="0"/>
        <w:keepLines w:val="0"/>
        <w:pageBreakBefore w:val="0"/>
        <w:kinsoku/>
        <w:wordWrap/>
        <w:overflowPunct/>
        <w:topLinePunct w:val="0"/>
        <w:bidi w:val="0"/>
        <w:snapToGrid/>
        <w:spacing w:line="460" w:lineRule="exact"/>
        <w:ind w:firstLine="560" w:firstLineChars="200"/>
        <w:textAlignment w:val="auto"/>
        <w:rPr>
          <w:rFonts w:hint="default"/>
          <w:lang w:val="en-US"/>
        </w:rPr>
      </w:pPr>
      <w:r>
        <w:rPr>
          <w:rFonts w:hint="eastAsia" w:ascii="宋体" w:hAnsi="宋体"/>
          <w:bCs/>
          <w:color w:val="auto"/>
          <w:sz w:val="28"/>
          <w:szCs w:val="28"/>
          <w:lang w:val="en-US" w:eastAsia="zh-CN"/>
        </w:rPr>
        <w:t>2.付款方式：完成安全性鉴定并出具鉴定报告后一次性付款。</w:t>
      </w:r>
    </w:p>
    <w:p>
      <w:pPr>
        <w:keepNext w:val="0"/>
        <w:keepLines w:val="0"/>
        <w:pageBreakBefore w:val="0"/>
        <w:kinsoku/>
        <w:wordWrap/>
        <w:overflowPunct/>
        <w:topLinePunct w:val="0"/>
        <w:autoSpaceDE w:val="0"/>
        <w:autoSpaceDN w:val="0"/>
        <w:bidi w:val="0"/>
        <w:adjustRightInd w:val="0"/>
        <w:snapToGrid/>
        <w:spacing w:line="460" w:lineRule="exact"/>
        <w:ind w:firstLine="562"/>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开标时间：</w:t>
      </w:r>
      <w:r>
        <w:rPr>
          <w:rFonts w:ascii="宋体" w:hAnsi="宋体"/>
          <w:bCs/>
          <w:color w:val="auto"/>
          <w:sz w:val="28"/>
          <w:szCs w:val="28"/>
        </w:rPr>
        <w:t xml:space="preserve"> </w:t>
      </w:r>
      <w:r>
        <w:rPr>
          <w:rFonts w:hint="eastAsia" w:ascii="宋体" w:hAnsi="宋体"/>
          <w:bCs/>
          <w:color w:val="auto"/>
          <w:sz w:val="28"/>
          <w:szCs w:val="28"/>
        </w:rPr>
        <w:t>2023年</w:t>
      </w:r>
      <w:r>
        <w:rPr>
          <w:rFonts w:hint="eastAsia" w:ascii="宋体" w:hAnsi="宋体"/>
          <w:bCs/>
          <w:color w:val="auto"/>
          <w:sz w:val="28"/>
          <w:szCs w:val="28"/>
          <w:lang w:val="en-US" w:eastAsia="zh-CN"/>
        </w:rPr>
        <w:t>9</w:t>
      </w:r>
      <w:r>
        <w:rPr>
          <w:rFonts w:hint="eastAsia" w:ascii="宋体" w:hAnsi="宋体"/>
          <w:bCs/>
          <w:color w:val="auto"/>
          <w:sz w:val="28"/>
          <w:szCs w:val="28"/>
        </w:rPr>
        <w:t>月</w:t>
      </w:r>
      <w:r>
        <w:rPr>
          <w:rFonts w:hint="eastAsia" w:ascii="宋体" w:hAnsi="宋体"/>
          <w:bCs/>
          <w:color w:val="auto"/>
          <w:sz w:val="28"/>
          <w:szCs w:val="28"/>
          <w:lang w:val="en-US" w:eastAsia="zh-CN"/>
        </w:rPr>
        <w:t>20</w:t>
      </w:r>
      <w:r>
        <w:rPr>
          <w:rFonts w:hint="eastAsia" w:ascii="宋体" w:hAnsi="宋体"/>
          <w:bCs/>
          <w:color w:val="auto"/>
          <w:sz w:val="28"/>
          <w:szCs w:val="28"/>
        </w:rPr>
        <w:t>日15：00。</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楼会议室</w:t>
      </w:r>
      <w:r>
        <w:rPr>
          <w:rFonts w:hint="eastAsia" w:ascii="宋体" w:hAnsi="宋体" w:cs="宋体"/>
          <w:color w:val="auto"/>
          <w:sz w:val="28"/>
          <w:szCs w:val="28"/>
        </w:rPr>
        <w:t>。</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FF0000"/>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逾期送达的或者未送达指定地点的，招标人不予受理。</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六、竞争性磋商申请人（简称供应商）须具备的条件</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6.</w:t>
      </w:r>
      <w:r>
        <w:rPr>
          <w:rFonts w:hint="eastAsia" w:ascii="宋体" w:hAnsi="宋体"/>
          <w:bCs/>
          <w:color w:val="000000"/>
          <w:sz w:val="28"/>
          <w:szCs w:val="28"/>
        </w:rPr>
        <w:t>具</w:t>
      </w:r>
      <w:r>
        <w:rPr>
          <w:rFonts w:hint="eastAsia" w:ascii="宋体" w:hAnsi="宋体"/>
          <w:bCs/>
          <w:color w:val="000000"/>
          <w:sz w:val="28"/>
          <w:szCs w:val="28"/>
          <w:lang w:val="en-US" w:eastAsia="zh-CN"/>
        </w:rPr>
        <w:t>备行政主管部门颁发的“建设工程质量检测机构资质证书（含主体结构检测）或建筑设计乙级及以上资质”;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.本次竞争性磋商不接受联合体参与；</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8.供应商及其现任法定代表人、主要负责人无行贿犯罪记录。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cs="宋体"/>
          <w:color w:val="000000"/>
          <w:sz w:val="28"/>
          <w:szCs w:val="28"/>
        </w:rPr>
      </w:pPr>
      <w:r>
        <w:rPr>
          <w:rFonts w:hint="eastAsia" w:ascii="宋体" w:hAnsi="宋体" w:cs="宋体"/>
          <w:b/>
          <w:bCs/>
          <w:color w:val="000000"/>
          <w:sz w:val="28"/>
          <w:szCs w:val="28"/>
        </w:rPr>
        <w:t>七、竞争性磋商申请文件需具有的资料(仅有但不限于)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.没有行贿犯罪记录的承诺函；</w:t>
      </w:r>
    </w:p>
    <w:p>
      <w:pPr>
        <w:pStyle w:val="7"/>
        <w:keepNext w:val="0"/>
        <w:keepLines w:val="0"/>
        <w:pageBreakBefore w:val="0"/>
        <w:kinsoku/>
        <w:wordWrap/>
        <w:overflowPunct/>
        <w:topLinePunct w:val="0"/>
        <w:bidi w:val="0"/>
        <w:snapToGrid/>
        <w:spacing w:line="46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7"/>
        <w:keepNext w:val="0"/>
        <w:keepLines w:val="0"/>
        <w:pageBreakBefore w:val="0"/>
        <w:kinsoku/>
        <w:wordWrap/>
        <w:overflowPunct/>
        <w:topLinePunct w:val="0"/>
        <w:bidi w:val="0"/>
        <w:snapToGrid/>
        <w:spacing w:line="46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8.</w:t>
      </w:r>
      <w:r>
        <w:rPr>
          <w:rFonts w:ascii="宋体" w:hAnsi="宋体" w:cs="宋体"/>
          <w:color w:val="000000"/>
          <w:sz w:val="28"/>
          <w:szCs w:val="28"/>
        </w:rPr>
        <w:t>没有重大违法记录的书面声明</w:t>
      </w:r>
      <w:r>
        <w:rPr>
          <w:rFonts w:hint="eastAsia" w:ascii="宋体" w:hAnsi="宋体" w:cs="宋体"/>
          <w:color w:val="000000"/>
          <w:sz w:val="28"/>
          <w:szCs w:val="28"/>
        </w:rPr>
        <w:t>；</w:t>
      </w:r>
    </w:p>
    <w:p>
      <w:pPr>
        <w:pStyle w:val="7"/>
        <w:keepNext w:val="0"/>
        <w:keepLines w:val="0"/>
        <w:pageBreakBefore w:val="0"/>
        <w:kinsoku/>
        <w:wordWrap/>
        <w:overflowPunct/>
        <w:topLinePunct w:val="0"/>
        <w:bidi w:val="0"/>
        <w:snapToGrid/>
        <w:spacing w:line="460" w:lineRule="exact"/>
        <w:ind w:left="0" w:leftChars="0" w:firstLine="560"/>
        <w:jc w:val="left"/>
        <w:textAlignment w:val="auto"/>
        <w:rPr>
          <w:rFonts w:hint="eastAsia" w:ascii="宋体" w:hAnsi="宋体" w:cs="宋体"/>
          <w:color w:val="000000"/>
          <w:sz w:val="28"/>
          <w:szCs w:val="28"/>
        </w:rPr>
      </w:pPr>
      <w:r>
        <w:rPr>
          <w:rFonts w:hint="eastAsia" w:ascii="宋体" w:hAnsi="宋体" w:cs="宋体"/>
          <w:color w:val="000000"/>
          <w:sz w:val="28"/>
          <w:szCs w:val="28"/>
        </w:rPr>
        <w:t>9.报价函；</w:t>
      </w:r>
    </w:p>
    <w:p>
      <w:pPr>
        <w:pStyle w:val="7"/>
        <w:keepNext w:val="0"/>
        <w:keepLines w:val="0"/>
        <w:pageBreakBefore w:val="0"/>
        <w:kinsoku/>
        <w:wordWrap/>
        <w:overflowPunct/>
        <w:topLinePunct w:val="0"/>
        <w:bidi w:val="0"/>
        <w:snapToGrid/>
        <w:spacing w:line="460" w:lineRule="exact"/>
        <w:ind w:left="0" w:leftChars="0" w:firstLine="560"/>
        <w:jc w:val="left"/>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10</w:t>
      </w:r>
      <w:r>
        <w:rPr>
          <w:rFonts w:hint="eastAsia" w:ascii="宋体" w:hAnsi="宋体" w:cs="宋体"/>
          <w:color w:val="000000"/>
          <w:sz w:val="28"/>
          <w:szCs w:val="28"/>
        </w:rPr>
        <w:t>.</w:t>
      </w:r>
      <w:r>
        <w:rPr>
          <w:rFonts w:hint="eastAsia" w:ascii="宋体" w:hAnsi="宋体"/>
          <w:bCs/>
          <w:color w:val="000000"/>
          <w:sz w:val="28"/>
          <w:szCs w:val="28"/>
        </w:rPr>
        <w:t>具</w:t>
      </w:r>
      <w:r>
        <w:rPr>
          <w:rFonts w:hint="eastAsia" w:ascii="宋体" w:hAnsi="宋体"/>
          <w:bCs/>
          <w:color w:val="000000"/>
          <w:sz w:val="28"/>
          <w:szCs w:val="28"/>
          <w:lang w:val="en-US" w:eastAsia="zh-CN"/>
        </w:rPr>
        <w:t>备行政主管部门颁发的“建设工程质量检测机构资质证书（含主体结构检测）或建筑设计乙级及以上资质”；</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八、评标标准</w:t>
      </w:r>
    </w:p>
    <w:p>
      <w:pPr>
        <w:keepNext w:val="0"/>
        <w:keepLines w:val="0"/>
        <w:pageBreakBefore w:val="0"/>
        <w:kinsoku/>
        <w:wordWrap/>
        <w:overflowPunct/>
        <w:topLinePunct w:val="0"/>
        <w:bidi w:val="0"/>
        <w:snapToGrid/>
        <w:spacing w:line="4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磋商小组由采购人或委托具有相应专业的评审专家3人组成；</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首先是资格审查，是针对供应商的类似经验等采用的强制性标准法。只有完全满足资格审查各项强制性标准的供应商才能进入下一个阶段的评审。</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kinsoku/>
        <w:wordWrap/>
        <w:overflowPunct/>
        <w:topLinePunct w:val="0"/>
        <w:bidi w:val="0"/>
        <w:snapToGrid/>
        <w:spacing w:line="46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九、中标通知书的发放与合同签订</w:t>
      </w:r>
    </w:p>
    <w:p>
      <w:pPr>
        <w:keepNext w:val="0"/>
        <w:keepLines w:val="0"/>
        <w:pageBreakBefore w:val="0"/>
        <w:kinsoku/>
        <w:wordWrap/>
        <w:overflowPunct/>
        <w:topLinePunct w:val="0"/>
        <w:bidi w:val="0"/>
        <w:snapToGrid/>
        <w:spacing w:line="460" w:lineRule="exact"/>
        <w:ind w:firstLine="560" w:firstLineChars="200"/>
        <w:textAlignment w:val="auto"/>
        <w:rPr>
          <w:rFonts w:hint="eastAsia" w:ascii="宋体" w:hAnsi="宋体"/>
          <w:color w:val="000000"/>
        </w:rPr>
      </w:pPr>
      <w:r>
        <w:rPr>
          <w:rFonts w:hint="eastAsia" w:ascii="宋体" w:hAnsi="宋体" w:cs="宋体"/>
          <w:color w:val="000000"/>
          <w:sz w:val="28"/>
          <w:szCs w:val="28"/>
        </w:rPr>
        <w:t>评标结果确定后，采购人在</w:t>
      </w:r>
      <w:r>
        <w:rPr>
          <w:rFonts w:hint="eastAsia" w:ascii="宋体" w:hAnsi="宋体" w:cs="宋体"/>
          <w:color w:val="000000"/>
          <w:sz w:val="28"/>
          <w:szCs w:val="28"/>
          <w:lang w:eastAsia="zh-CN"/>
        </w:rPr>
        <w:t>医院官网</w:t>
      </w:r>
      <w:r>
        <w:rPr>
          <w:rFonts w:hint="eastAsia" w:ascii="宋体" w:hAnsi="宋体" w:cs="宋体"/>
          <w:color w:val="000000"/>
          <w:sz w:val="28"/>
          <w:szCs w:val="28"/>
        </w:rPr>
        <w:t>进行公示，公示结束后，采购人与排名第一的成交供应商签订采购合同。</w:t>
      </w:r>
      <w:r>
        <w:rPr>
          <w:rFonts w:ascii="宋体" w:hAnsi="宋体"/>
          <w:color w:val="000000"/>
        </w:rPr>
        <w:br w:type="page"/>
      </w:r>
    </w:p>
    <w:p>
      <w:pPr>
        <w:rPr>
          <w:rFonts w:hint="eastAsia" w:ascii="宋体" w:hAnsi="宋体"/>
          <w:color w:val="000000"/>
        </w:rPr>
      </w:pP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4"/>
        <w:spacing w:before="0" w:after="0" w:line="360" w:lineRule="auto"/>
        <w:jc w:val="center"/>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5"/>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rPr>
          <w:rFonts w:hint="eastAsia"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3"/>
        <w:shd w:val="clear" w:color="auto" w:fill="FFFFFF"/>
        <w:spacing w:before="0" w:beforeAutospacing="0" w:after="0" w:afterAutospacing="0" w:line="480" w:lineRule="exact"/>
        <w:ind w:left="-420" w:firstLine="635"/>
        <w:rPr>
          <w:rFonts w:hint="eastAsia" w:cs="Times New Roman"/>
          <w:bCs/>
          <w:color w:val="000000"/>
          <w:sz w:val="28"/>
          <w:szCs w:val="28"/>
        </w:rPr>
      </w:pPr>
      <w:r>
        <w:rPr>
          <w:rFonts w:hint="eastAsia"/>
          <w:color w:val="000000"/>
          <w:sz w:val="28"/>
          <w:szCs w:val="28"/>
        </w:rPr>
        <w:t>1、我公司全面研究了</w:t>
      </w:r>
      <w:r>
        <w:rPr>
          <w:rFonts w:hint="eastAsia" w:ascii="宋体" w:hAnsi="宋体"/>
          <w:bCs w:val="0"/>
          <w:color w:val="000000"/>
          <w:sz w:val="28"/>
          <w:szCs w:val="28"/>
          <w:u w:val="single"/>
        </w:rPr>
        <w:t>三台县</w:t>
      </w:r>
      <w:r>
        <w:rPr>
          <w:rFonts w:hint="eastAsia" w:ascii="宋体" w:hAnsi="宋体"/>
          <w:bCs w:val="0"/>
          <w:color w:val="000000"/>
          <w:sz w:val="28"/>
          <w:szCs w:val="28"/>
          <w:u w:val="single"/>
          <w:lang w:val="en-US" w:eastAsia="zh-CN"/>
        </w:rPr>
        <w:t>人民医院体检楼安全性鉴定</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1" w:name="OLE_LINK2"/>
      <w:bookmarkStart w:id="2" w:name="OLE_LINK1"/>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 xml:space="preserve">               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5"/>
        <w:rPr>
          <w:rFonts w:hint="eastAsia"/>
          <w:color w:val="000000"/>
        </w:rPr>
      </w:pPr>
    </w:p>
    <w:p>
      <w:pPr>
        <w:pStyle w:val="5"/>
        <w:rPr>
          <w:rFonts w:hint="eastAsia" w:ascii="宋体" w:hAnsi="宋体"/>
          <w:color w:val="00000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hint="eastAsia" w:ascii="宋体" w:hAnsi="宋体"/>
          <w:color w:val="000000"/>
        </w:rPr>
      </w:pPr>
    </w:p>
    <w:p>
      <w:pPr>
        <w:pStyle w:val="5"/>
        <w:rPr>
          <w:rFonts w:hint="eastAsia"/>
          <w:color w:val="000000"/>
        </w:rPr>
      </w:pPr>
    </w:p>
    <w:p>
      <w:pPr>
        <w:rPr>
          <w:color w:val="000000"/>
        </w:rPr>
      </w:pPr>
    </w:p>
    <w:p>
      <w:pPr>
        <w:pStyle w:val="5"/>
        <w:rPr>
          <w:rFonts w:ascii="宋体" w:hAnsi="宋体"/>
          <w:color w:val="000000"/>
        </w:rPr>
      </w:pPr>
    </w:p>
    <w:p>
      <w:pPr>
        <w:rPr>
          <w:rFonts w:ascii="宋体" w:hAnsi="宋体"/>
          <w:color w:val="00000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7"/>
        <w:spacing w:line="500" w:lineRule="exact"/>
        <w:ind w:left="0" w:leftChars="0"/>
        <w:jc w:val="center"/>
        <w:rPr>
          <w:rFonts w:ascii="宋体" w:hAnsi="宋体"/>
          <w:b/>
          <w:color w:val="000000"/>
          <w:sz w:val="32"/>
          <w:szCs w:val="32"/>
        </w:rPr>
      </w:pPr>
      <w:r>
        <w:rPr>
          <w:rFonts w:ascii="宋体" w:hAnsi="宋体"/>
          <w:b/>
          <w:color w:val="000000"/>
          <w:sz w:val="32"/>
          <w:szCs w:val="32"/>
        </w:rPr>
        <w:t>没有重大违法记录的书面声明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pPr>
        <w:pStyle w:val="5"/>
        <w:rPr>
          <w:rFonts w:hint="eastAsia" w:ascii="宋体" w:hAnsi="宋体"/>
          <w:b/>
          <w:color w:val="000000"/>
          <w:sz w:val="24"/>
        </w:rPr>
      </w:pPr>
    </w:p>
    <w:p>
      <w:pPr>
        <w:rPr>
          <w:rFonts w:hint="eastAsia" w:ascii="宋体" w:hAnsi="宋体"/>
          <w:color w:val="000000"/>
        </w:rPr>
      </w:pPr>
    </w:p>
    <w:p>
      <w:pPr>
        <w:snapToGrid w:val="0"/>
        <w:spacing w:line="400" w:lineRule="exact"/>
        <w:jc w:val="center"/>
        <w:rPr>
          <w:rFonts w:hint="eastAsia" w:ascii="宋体" w:hAnsi="宋体"/>
          <w:b/>
          <w:color w:val="000000"/>
          <w:sz w:val="28"/>
          <w:szCs w:val="28"/>
        </w:rPr>
      </w:pPr>
    </w:p>
    <w:p>
      <w:pPr>
        <w:pStyle w:val="5"/>
        <w:rPr>
          <w:rFonts w:hint="eastAsia" w:ascii="宋体" w:hAnsi="宋体"/>
          <w:b/>
          <w:color w:val="000000"/>
          <w:sz w:val="28"/>
          <w:szCs w:val="28"/>
        </w:rPr>
      </w:pPr>
    </w:p>
    <w:p>
      <w:pPr>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7"/>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center"/>
        <w:rPr>
          <w:rFonts w:hint="eastAsia" w:ascii="宋体" w:hAnsi="宋体"/>
          <w:color w:val="000000"/>
          <w:sz w:val="28"/>
          <w:szCs w:val="28"/>
          <w:u w:val="thick"/>
        </w:rPr>
      </w:pPr>
      <w:r>
        <w:rPr>
          <w:rFonts w:hint="eastAsia" w:ascii="宋体" w:hAnsi="宋体"/>
          <w:color w:val="000000"/>
          <w:sz w:val="28"/>
          <w:szCs w:val="28"/>
        </w:rPr>
        <w:t xml:space="preserve">      </w:t>
      </w: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hint="eastAsia" w:ascii="宋体" w:hAnsi="宋体"/>
          <w:color w:val="000000"/>
          <w:sz w:val="28"/>
          <w:szCs w:val="28"/>
          <w:u w:val="single"/>
        </w:rPr>
      </w:pPr>
      <w:r>
        <w:rPr>
          <w:rFonts w:hint="eastAsia" w:ascii="宋体" w:hAnsi="宋体"/>
          <w:color w:val="000000"/>
          <w:sz w:val="28"/>
          <w:szCs w:val="28"/>
        </w:rPr>
        <w:t xml:space="preserve">                          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ind w:firstLine="2520" w:firstLineChars="90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2520" w:firstLineChars="9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t>附件2：竞争性磋商评分表</w:t>
      </w:r>
    </w:p>
    <w:tbl>
      <w:tblPr>
        <w:tblStyle w:val="10"/>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28"/>
        <w:gridCol w:w="475"/>
        <w:gridCol w:w="68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b/>
                <w:bCs/>
                <w:color w:val="000000"/>
                <w:sz w:val="24"/>
                <w:lang w:eastAsia="zh-CN"/>
              </w:rPr>
              <w:t>序号</w:t>
            </w:r>
          </w:p>
        </w:tc>
        <w:tc>
          <w:tcPr>
            <w:tcW w:w="828"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b/>
                <w:bCs/>
                <w:color w:val="000000"/>
                <w:sz w:val="24"/>
                <w:lang w:eastAsia="zh-CN"/>
              </w:rPr>
              <w:t>评分因素及权重</w:t>
            </w:r>
          </w:p>
        </w:tc>
        <w:tc>
          <w:tcPr>
            <w:tcW w:w="47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b/>
                <w:bCs/>
                <w:color w:val="000000"/>
                <w:sz w:val="24"/>
                <w:lang w:eastAsia="zh-CN"/>
              </w:rPr>
              <w:t>分值</w:t>
            </w:r>
          </w:p>
        </w:tc>
        <w:tc>
          <w:tcPr>
            <w:tcW w:w="6896"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b/>
                <w:bCs/>
                <w:color w:val="000000"/>
                <w:sz w:val="24"/>
                <w:lang w:eastAsia="zh-CN"/>
              </w:rPr>
              <w:t>评分标准</w:t>
            </w:r>
          </w:p>
        </w:tc>
        <w:tc>
          <w:tcPr>
            <w:tcW w:w="1134"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b/>
                <w:bCs/>
                <w:color w:val="000000"/>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1</w:t>
            </w:r>
          </w:p>
        </w:tc>
        <w:tc>
          <w:tcPr>
            <w:tcW w:w="82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报价</w:t>
            </w:r>
          </w:p>
        </w:tc>
        <w:tc>
          <w:tcPr>
            <w:tcW w:w="47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40</w:t>
            </w:r>
          </w:p>
        </w:tc>
        <w:tc>
          <w:tcPr>
            <w:tcW w:w="6896"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宋体" w:hAnsi="宋体" w:eastAsia="宋体" w:cs="宋体"/>
                <w:color w:val="000000"/>
                <w:szCs w:val="21"/>
                <w:lang w:val="en-US"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134" w:type="dxa"/>
            <w:noWrap w:val="0"/>
            <w:vAlign w:val="top"/>
          </w:tcPr>
          <w:p>
            <w:pPr>
              <w:keepNext w:val="0"/>
              <w:keepLines w:val="0"/>
              <w:pageBreakBefore w:val="0"/>
              <w:widowControl w:val="0"/>
              <w:kinsoku/>
              <w:overflowPunct/>
              <w:topLinePunct w:val="0"/>
              <w:autoSpaceDE w:val="0"/>
              <w:autoSpaceDN w:val="0"/>
              <w:bidi w:val="0"/>
              <w:adjustRightInd w:val="0"/>
              <w:snapToGrid/>
              <w:spacing w:line="280" w:lineRule="exact"/>
              <w:jc w:val="left"/>
              <w:textAlignment w:val="auto"/>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82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47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10</w:t>
            </w:r>
          </w:p>
        </w:tc>
        <w:tc>
          <w:tcPr>
            <w:tcW w:w="6896" w:type="dxa"/>
            <w:noWrap w:val="0"/>
            <w:vAlign w:val="center"/>
          </w:tcPr>
          <w:p>
            <w:pPr>
              <w:keepNext w:val="0"/>
              <w:keepLines w:val="0"/>
              <w:pageBreakBefore w:val="0"/>
              <w:widowControl w:val="0"/>
              <w:kinsoku/>
              <w:overflowPunct/>
              <w:topLinePunct w:val="0"/>
              <w:autoSpaceDE/>
              <w:autoSpaceDN/>
              <w:bidi w:val="0"/>
              <w:adjustRightInd/>
              <w:snapToGrid/>
              <w:spacing w:line="280" w:lineRule="exact"/>
              <w:ind w:right="0" w:rightChars="0"/>
              <w:jc w:val="left"/>
              <w:textAlignment w:val="auto"/>
              <w:rPr>
                <w:rFonts w:hint="eastAsia" w:ascii="宋体" w:hAnsi="宋体" w:eastAsia="宋体" w:cs="宋体"/>
                <w:color w:val="000000"/>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cs="宋体"/>
                <w:sz w:val="21"/>
                <w:szCs w:val="21"/>
                <w:lang w:eastAsia="zh-CN"/>
              </w:rPr>
              <w:t>安全性</w:t>
            </w:r>
            <w:r>
              <w:rPr>
                <w:rFonts w:hint="eastAsia" w:ascii="宋体" w:hAnsi="宋体" w:cs="宋体"/>
                <w:sz w:val="21"/>
                <w:szCs w:val="21"/>
                <w:lang w:val="en-US" w:eastAsia="zh-CN"/>
              </w:rPr>
              <w:t>鉴定</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cs="宋体"/>
                <w:sz w:val="21"/>
                <w:szCs w:val="21"/>
                <w:lang w:eastAsia="zh-CN"/>
              </w:rPr>
              <w:t>。</w:t>
            </w:r>
          </w:p>
        </w:tc>
        <w:tc>
          <w:tcPr>
            <w:tcW w:w="1134" w:type="dxa"/>
            <w:noWrap w:val="0"/>
            <w:vAlign w:val="center"/>
          </w:tcPr>
          <w:p>
            <w:pPr>
              <w:keepNext w:val="0"/>
              <w:keepLines w:val="0"/>
              <w:pageBreakBefore w:val="0"/>
              <w:widowControl w:val="0"/>
              <w:kinsoku/>
              <w:overflowPunct/>
              <w:topLinePunct w:val="0"/>
              <w:bidi w:val="0"/>
              <w:snapToGrid/>
              <w:spacing w:line="280" w:lineRule="exact"/>
              <w:ind w:right="-20" w:rightChars="0"/>
              <w:jc w:val="center"/>
              <w:textAlignment w:val="auto"/>
              <w:rPr>
                <w:rFonts w:hint="eastAsia" w:ascii="宋体" w:hAnsi="宋体" w:cs="宋体"/>
                <w:color w:val="000000"/>
              </w:rPr>
            </w:pPr>
            <w:r>
              <w:rPr>
                <w:rFonts w:hint="eastAsia" w:ascii="宋体" w:hAnsi="宋体" w:eastAsia="宋体" w:cs="宋体"/>
                <w:sz w:val="21"/>
                <w:szCs w:val="21"/>
                <w:lang w:val="zh-CN"/>
              </w:rPr>
              <w:t>提供相关合同</w:t>
            </w:r>
            <w:r>
              <w:rPr>
                <w:rFonts w:hint="eastAsia" w:ascii="宋体" w:hAnsi="宋体" w:eastAsia="宋体" w:cs="宋体"/>
                <w:sz w:val="21"/>
                <w:szCs w:val="21"/>
                <w:lang w:val="en-US" w:eastAsia="zh-CN"/>
              </w:rPr>
              <w:t>或</w:t>
            </w:r>
            <w:r>
              <w:rPr>
                <w:rFonts w:hint="eastAsia" w:ascii="宋体" w:hAnsi="宋体" w:eastAsia="宋体" w:cs="宋体"/>
                <w:sz w:val="21"/>
                <w:szCs w:val="21"/>
                <w:lang w:val="zh-CN"/>
              </w:rPr>
              <w:t>协议文件</w:t>
            </w:r>
            <w:r>
              <w:rPr>
                <w:rFonts w:hint="eastAsia" w:ascii="宋体" w:hAnsi="宋体" w:eastAsia="宋体" w:cs="宋体"/>
                <w:sz w:val="21"/>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82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47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6896" w:type="dxa"/>
            <w:noWrap w:val="0"/>
            <w:vAlign w:val="center"/>
          </w:tcPr>
          <w:p>
            <w:pPr>
              <w:spacing w:line="300" w:lineRule="exact"/>
              <w:rPr>
                <w:szCs w:val="22"/>
              </w:rPr>
            </w:pPr>
            <w:r>
              <w:rPr>
                <w:rFonts w:hint="eastAsia"/>
                <w:szCs w:val="22"/>
              </w:rPr>
              <w:t>1、项目负责人：具备一级注册结构工程师注册证书得4分，同时具备高级职称及以上加4分，本项最高得8分。</w:t>
            </w:r>
          </w:p>
          <w:p>
            <w:pPr>
              <w:spacing w:line="300" w:lineRule="exact"/>
              <w:rPr>
                <w:szCs w:val="22"/>
              </w:rPr>
            </w:pPr>
            <w:r>
              <w:rPr>
                <w:rFonts w:hint="eastAsia"/>
              </w:rPr>
              <w:t>2、项目技术负责人：具有注册土木工程师（岩土）注册证书得4分，同时具有全国一级注册结构师执业资格加4分，具备</w:t>
            </w:r>
            <w:r>
              <w:rPr>
                <w:rFonts w:hint="eastAsia"/>
                <w:szCs w:val="22"/>
              </w:rPr>
              <w:t>高级工程师职称及以上加</w:t>
            </w:r>
            <w:r>
              <w:rPr>
                <w:szCs w:val="22"/>
              </w:rPr>
              <w:t>2</w:t>
            </w:r>
            <w:r>
              <w:rPr>
                <w:rFonts w:hint="eastAsia"/>
                <w:szCs w:val="22"/>
              </w:rPr>
              <w:t>分。本项最高得10分。</w:t>
            </w:r>
          </w:p>
          <w:p>
            <w:pPr>
              <w:spacing w:line="300" w:lineRule="exact"/>
              <w:rPr>
                <w:rFonts w:hint="eastAsia"/>
                <w:szCs w:val="22"/>
              </w:rPr>
            </w:pPr>
            <w:r>
              <w:rPr>
                <w:rFonts w:hint="eastAsia"/>
                <w:szCs w:val="22"/>
              </w:rPr>
              <w:t>3、鉴定专业人员：高级工程师职称得1分,同时具备二级注册结构工程师加1分，本项最高得2分。</w:t>
            </w:r>
          </w:p>
          <w:p>
            <w:pPr>
              <w:autoSpaceDE w:val="0"/>
              <w:spacing w:line="280" w:lineRule="exact"/>
              <w:jc w:val="left"/>
              <w:rPr>
                <w:rFonts w:hint="eastAsia" w:eastAsia="宋体"/>
                <w:lang w:val="en-US" w:eastAsia="zh-CN"/>
              </w:rPr>
            </w:pPr>
            <w:r>
              <w:rPr>
                <w:rFonts w:hint="eastAsia"/>
                <w:szCs w:val="22"/>
              </w:rPr>
              <w:t>注：1、上述人员须是投标单位人员，60岁以下人员提供最近连续6个月社保证明，60岁以上人员提供退休证和返聘协议或者合同。</w:t>
            </w:r>
          </w:p>
        </w:tc>
        <w:tc>
          <w:tcPr>
            <w:tcW w:w="1134"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color w:val="000000"/>
                <w:sz w:val="24"/>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Times New Roman"/>
                <w:color w:val="000000"/>
                <w:sz w:val="21"/>
                <w:szCs w:val="21"/>
                <w:lang w:val="en-US" w:eastAsia="zh-CN"/>
              </w:rPr>
              <w:t>4</w:t>
            </w:r>
          </w:p>
        </w:tc>
        <w:tc>
          <w:tcPr>
            <w:tcW w:w="82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sz w:val="21"/>
                <w:szCs w:val="21"/>
              </w:rPr>
            </w:pPr>
            <w:r>
              <w:rPr>
                <w:rFonts w:hint="eastAsia" w:ascii="宋体" w:hAnsi="宋体" w:cs="Times New Roman"/>
                <w:bCs/>
                <w:color w:val="000000"/>
                <w:sz w:val="21"/>
                <w:szCs w:val="21"/>
                <w:lang w:val="en-US" w:eastAsia="zh-CN"/>
              </w:rPr>
              <w:t>鉴定</w:t>
            </w:r>
            <w:r>
              <w:rPr>
                <w:rFonts w:hint="eastAsia" w:ascii="宋体" w:hAnsi="宋体" w:eastAsia="宋体" w:cs="Times New Roman"/>
                <w:bCs/>
                <w:color w:val="000000"/>
                <w:sz w:val="21"/>
                <w:szCs w:val="21"/>
                <w:lang w:val="en-US" w:eastAsia="zh-CN"/>
              </w:rPr>
              <w:t>方案</w:t>
            </w:r>
          </w:p>
        </w:tc>
        <w:tc>
          <w:tcPr>
            <w:tcW w:w="475" w:type="dxa"/>
            <w:noWrap w:val="0"/>
            <w:vAlign w:val="center"/>
          </w:tcPr>
          <w:p>
            <w:pPr>
              <w:autoSpaceDE w:val="0"/>
              <w:autoSpaceDN w:val="0"/>
              <w:adjustRightInd w:val="0"/>
              <w:spacing w:line="276" w:lineRule="auto"/>
              <w:jc w:val="center"/>
              <w:rPr>
                <w:rFonts w:hint="default" w:ascii="宋体" w:hAnsi="宋体" w:eastAsia="宋体" w:cs="宋体"/>
                <w:color w:val="000000"/>
                <w:sz w:val="21"/>
                <w:szCs w:val="21"/>
                <w:lang w:val="en-US"/>
              </w:rPr>
            </w:pPr>
            <w:r>
              <w:rPr>
                <w:rFonts w:hint="eastAsia" w:ascii="宋体" w:hAnsi="宋体" w:cs="宋体"/>
                <w:color w:val="000000"/>
                <w:sz w:val="24"/>
                <w:szCs w:val="24"/>
                <w:lang w:val="en-US" w:eastAsia="zh-CN"/>
              </w:rPr>
              <w:t>30</w:t>
            </w:r>
          </w:p>
        </w:tc>
        <w:tc>
          <w:tcPr>
            <w:tcW w:w="6896" w:type="dxa"/>
            <w:noWrap w:val="0"/>
            <w:vAlign w:val="center"/>
          </w:tcPr>
          <w:p>
            <w:pPr>
              <w:numPr>
                <w:ilvl w:val="0"/>
                <w:numId w:val="2"/>
              </w:numPr>
              <w:wordWrap w:val="0"/>
              <w:spacing w:line="276"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对本项目</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的理解和分析（</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分）：理解和分析到位得</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分；理解和分析一般得</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分；无得0分</w:t>
            </w:r>
            <w:r>
              <w:rPr>
                <w:rFonts w:hint="eastAsia" w:ascii="宋体" w:hAnsi="宋体" w:eastAsia="宋体" w:cs="宋体"/>
                <w:color w:val="000000"/>
                <w:sz w:val="24"/>
                <w:szCs w:val="24"/>
                <w:lang w:eastAsia="zh-CN"/>
              </w:rPr>
              <w:t>。</w:t>
            </w:r>
          </w:p>
          <w:p>
            <w:pPr>
              <w:numPr>
                <w:ilvl w:val="0"/>
                <w:numId w:val="2"/>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的程序与方法针对性一般、可行性一般，满足项目需求一般得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2"/>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工作质量控制及保证措施（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2"/>
              </w:numPr>
              <w:wordWrap w:val="0"/>
              <w:spacing w:line="276"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工作进度控制及保证措施（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工作的检测的进度控制及保证措施针对性一般、可行性一般，满足项目需求一般得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tc>
        <w:tc>
          <w:tcPr>
            <w:tcW w:w="1134" w:type="dxa"/>
            <w:noWrap w:val="0"/>
            <w:vAlign w:val="center"/>
          </w:tcPr>
          <w:p>
            <w:pPr>
              <w:keepNext w:val="0"/>
              <w:keepLines w:val="0"/>
              <w:pageBreakBefore w:val="0"/>
              <w:widowControl w:val="0"/>
              <w:kinsoku/>
              <w:overflowPunct/>
              <w:topLinePunct w:val="0"/>
              <w:bidi w:val="0"/>
              <w:snapToGrid/>
              <w:spacing w:line="280" w:lineRule="exact"/>
              <w:ind w:right="-23" w:rightChars="0"/>
              <w:jc w:val="center"/>
              <w:textAlignment w:val="auto"/>
              <w:rPr>
                <w:rFonts w:hint="eastAsia" w:ascii="宋体" w:hAnsi="宋体"/>
                <w:color w:val="000000"/>
                <w:sz w:val="24"/>
              </w:rPr>
            </w:pPr>
          </w:p>
        </w:tc>
      </w:tr>
      <w:bookmarkEnd w:id="3"/>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abstractNum w:abstractNumId="1">
    <w:nsid w:val="72ECE3DD"/>
    <w:multiLevelType w:val="singleLevel"/>
    <w:tmpl w:val="72ECE3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156380"/>
    <w:rsid w:val="018B2008"/>
    <w:rsid w:val="024E20D2"/>
    <w:rsid w:val="0F91097D"/>
    <w:rsid w:val="12417F9D"/>
    <w:rsid w:val="15E25D0E"/>
    <w:rsid w:val="177C196C"/>
    <w:rsid w:val="18B85EF5"/>
    <w:rsid w:val="193D33A6"/>
    <w:rsid w:val="1C113504"/>
    <w:rsid w:val="1EC33E59"/>
    <w:rsid w:val="1F75336D"/>
    <w:rsid w:val="219A4345"/>
    <w:rsid w:val="260628FD"/>
    <w:rsid w:val="27995369"/>
    <w:rsid w:val="379F0A81"/>
    <w:rsid w:val="394418E0"/>
    <w:rsid w:val="3DAD69FC"/>
    <w:rsid w:val="40582115"/>
    <w:rsid w:val="413F59EA"/>
    <w:rsid w:val="41E719A3"/>
    <w:rsid w:val="4963549A"/>
    <w:rsid w:val="500B7E4C"/>
    <w:rsid w:val="53C40323"/>
    <w:rsid w:val="60234096"/>
    <w:rsid w:val="623905BD"/>
    <w:rsid w:val="6402724C"/>
    <w:rsid w:val="6A607432"/>
    <w:rsid w:val="7A4C704F"/>
    <w:rsid w:val="7A580541"/>
    <w:rsid w:val="7B3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Indent"/>
    <w:basedOn w:val="1"/>
    <w:qFormat/>
    <w:uiPriority w:val="0"/>
    <w:pPr>
      <w:ind w:firstLine="630"/>
    </w:pPr>
    <w:rPr>
      <w:sz w:val="32"/>
      <w:szCs w:val="20"/>
    </w:rPr>
  </w:style>
  <w:style w:type="paragraph" w:styleId="7">
    <w:name w:val="List Continue 2"/>
    <w:basedOn w:val="1"/>
    <w:qFormat/>
    <w:uiPriority w:val="0"/>
    <w:pPr>
      <w:spacing w:after="120"/>
      <w:ind w:left="840" w:leftChars="400"/>
    </w:pPr>
  </w:style>
  <w:style w:type="paragraph" w:styleId="8">
    <w:name w:val="Body Text First Indent"/>
    <w:basedOn w:val="2"/>
    <w:next w:val="9"/>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9">
    <w:name w:val="Body Text First Indent 2"/>
    <w:basedOn w:val="6"/>
    <w:next w:val="8"/>
    <w:qFormat/>
    <w:uiPriority w:val="0"/>
    <w:pPr>
      <w:spacing w:after="120"/>
      <w:ind w:left="420" w:leftChars="200" w:firstLine="420" w:firstLineChars="200"/>
    </w:pPr>
    <w:rPr>
      <w:color w:val="FF0000"/>
      <w:kern w:val="0"/>
      <w:sz w:val="22"/>
      <w:szCs w:val="24"/>
    </w:rPr>
  </w:style>
  <w:style w:type="paragraph" w:customStyle="1" w:styleId="12">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qFormat/>
    <w:uiPriority w:val="0"/>
    <w:pPr>
      <w:widowControl/>
    </w:pPr>
    <w:rPr>
      <w:rFonts w:cs="宋体"/>
    </w:rPr>
  </w:style>
  <w:style w:type="paragraph" w:customStyle="1" w:styleId="15">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4527</Words>
  <Characters>4626</Characters>
  <Lines>0</Lines>
  <Paragraphs>0</Paragraphs>
  <TotalTime>34</TotalTime>
  <ScaleCrop>false</ScaleCrop>
  <LinksUpToDate>false</LinksUpToDate>
  <CharactersWithSpaces>5286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2023-09-12T00:49:01Z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F33FC82AEA184655981F590FF82DA94C_13</vt:lpwstr>
  </property>
</Properties>
</file>