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cs="Arial"/>
          <w:bCs w:val="0"/>
          <w:sz w:val="44"/>
          <w:szCs w:val="44"/>
        </w:rPr>
      </w:pPr>
      <w:r>
        <w:rPr>
          <w:rFonts w:hint="eastAsia" w:cs="Arial"/>
          <w:bCs w:val="0"/>
          <w:sz w:val="44"/>
          <w:szCs w:val="44"/>
        </w:rPr>
        <w:t>三台县人民医院</w:t>
      </w:r>
    </w:p>
    <w:p>
      <w:pPr>
        <w:pStyle w:val="4"/>
        <w:shd w:val="clear" w:color="auto" w:fill="FFFFFF"/>
        <w:spacing w:before="0" w:beforeAutospacing="0" w:after="0" w:afterAutospacing="0"/>
        <w:jc w:val="center"/>
        <w:rPr>
          <w:rFonts w:hint="default" w:eastAsia="宋体" w:cs="Arial"/>
          <w:bCs w:val="0"/>
          <w:sz w:val="44"/>
          <w:szCs w:val="44"/>
          <w:lang w:val="en-US" w:eastAsia="zh-CN"/>
        </w:rPr>
      </w:pPr>
      <w:r>
        <w:rPr>
          <w:rFonts w:hint="eastAsia" w:cs="Arial"/>
          <w:bCs w:val="0"/>
          <w:sz w:val="44"/>
          <w:szCs w:val="44"/>
        </w:rPr>
        <w:t>外科大楼建渣外运及处理</w:t>
      </w:r>
      <w:r>
        <w:rPr>
          <w:rFonts w:cs="Arial"/>
          <w:bCs w:val="0"/>
          <w:sz w:val="44"/>
          <w:szCs w:val="44"/>
        </w:rPr>
        <w:t>采购</w:t>
      </w:r>
      <w:r>
        <w:rPr>
          <w:rFonts w:hint="eastAsia" w:cs="Arial"/>
          <w:bCs w:val="0"/>
          <w:sz w:val="44"/>
          <w:szCs w:val="44"/>
          <w:lang w:eastAsia="zh-CN"/>
        </w:rPr>
        <w:t>（第二次）</w:t>
      </w:r>
    </w:p>
    <w:p>
      <w:pPr>
        <w:jc w:val="center"/>
        <w:rPr>
          <w:rFonts w:ascii="宋体" w:hAnsi="宋体"/>
          <w:b/>
          <w:color w:val="000000"/>
          <w:sz w:val="44"/>
          <w:szCs w:val="44"/>
        </w:rPr>
      </w:pPr>
    </w:p>
    <w:p>
      <w:pPr>
        <w:jc w:val="center"/>
        <w:rPr>
          <w:rFonts w:ascii="宋体" w:hAnsi="宋体"/>
          <w:b/>
          <w:color w:val="000000"/>
          <w:sz w:val="36"/>
          <w:szCs w:val="36"/>
        </w:rPr>
      </w:pPr>
    </w:p>
    <w:p>
      <w:pPr>
        <w:jc w:val="center"/>
        <w:rPr>
          <w:rFonts w:ascii="宋体" w:hAnsi="宋体"/>
          <w:b/>
          <w:color w:val="000000"/>
          <w:sz w:val="36"/>
          <w:szCs w:val="36"/>
        </w:rPr>
      </w:pPr>
    </w:p>
    <w:p>
      <w:pPr>
        <w:spacing w:line="900" w:lineRule="exact"/>
        <w:jc w:val="center"/>
        <w:rPr>
          <w:rFonts w:ascii="宋体" w:hAnsi="宋体"/>
          <w:b/>
          <w:color w:val="000000"/>
          <w:sz w:val="30"/>
          <w:szCs w:val="30"/>
        </w:rPr>
      </w:pPr>
      <w:r>
        <w:rPr>
          <w:rFonts w:hint="eastAsia" w:ascii="宋体" w:hAnsi="宋体"/>
          <w:b/>
          <w:color w:val="000000"/>
          <w:sz w:val="56"/>
          <w:szCs w:val="36"/>
        </w:rPr>
        <w:t>院内竞争性磋商文件</w:t>
      </w: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pStyle w:val="7"/>
      </w:pPr>
    </w:p>
    <w:p>
      <w:pPr>
        <w:spacing w:line="900" w:lineRule="exact"/>
        <w:ind w:firstLine="2409" w:firstLineChars="800"/>
        <w:rPr>
          <w:rFonts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ascii="宋体" w:hAnsi="宋体"/>
          <w:b/>
          <w:color w:val="000000"/>
          <w:sz w:val="30"/>
          <w:szCs w:val="30"/>
          <w:u w:val="single"/>
        </w:rPr>
      </w:pPr>
    </w:p>
    <w:p>
      <w:pPr>
        <w:spacing w:line="900" w:lineRule="exact"/>
        <w:ind w:firstLine="3614" w:firstLineChars="1200"/>
        <w:rPr>
          <w:rFonts w:ascii="宋体" w:hAnsi="宋体"/>
          <w:b/>
          <w:color w:val="000000"/>
          <w:sz w:val="30"/>
          <w:szCs w:val="30"/>
        </w:rPr>
      </w:pPr>
      <w:r>
        <w:rPr>
          <w:rFonts w:hint="eastAsia" w:ascii="宋体" w:hAnsi="宋体"/>
          <w:b/>
          <w:color w:val="000000"/>
          <w:sz w:val="30"/>
          <w:szCs w:val="30"/>
        </w:rPr>
        <w:t>2023年</w:t>
      </w:r>
      <w:r>
        <w:rPr>
          <w:rFonts w:ascii="宋体" w:hAnsi="宋体"/>
          <w:b/>
          <w:color w:val="000000"/>
          <w:sz w:val="30"/>
          <w:szCs w:val="30"/>
        </w:rPr>
        <w:t xml:space="preserve"> </w:t>
      </w:r>
      <w:r>
        <w:rPr>
          <w:rFonts w:hint="eastAsia" w:ascii="宋体" w:hAnsi="宋体"/>
          <w:b/>
          <w:color w:val="000000"/>
          <w:sz w:val="30"/>
          <w:szCs w:val="30"/>
          <w:lang w:val="en-US" w:eastAsia="zh-CN"/>
        </w:rPr>
        <w:t>10</w:t>
      </w:r>
      <w:r>
        <w:rPr>
          <w:rFonts w:hint="eastAsia" w:ascii="宋体" w:hAnsi="宋体"/>
          <w:b/>
          <w:color w:val="000000"/>
          <w:sz w:val="30"/>
          <w:szCs w:val="30"/>
        </w:rPr>
        <w:t>月</w:t>
      </w:r>
    </w:p>
    <w:p>
      <w:pPr>
        <w:rPr>
          <w:rFonts w:ascii="宋体" w:hAnsi="宋体"/>
          <w:b/>
          <w:color w:val="000000"/>
          <w:sz w:val="36"/>
          <w:szCs w:val="36"/>
        </w:rPr>
      </w:pPr>
    </w:p>
    <w:p>
      <w:pPr>
        <w:rPr>
          <w:rFonts w:ascii="宋体" w:hAnsi="宋体"/>
          <w:b/>
          <w:color w:val="000000"/>
          <w:sz w:val="36"/>
          <w:szCs w:val="36"/>
        </w:rPr>
      </w:pPr>
    </w:p>
    <w:p>
      <w:pPr>
        <w:jc w:val="center"/>
        <w:rPr>
          <w:rFonts w:ascii="宋体" w:hAnsi="宋体"/>
          <w:b/>
          <w:color w:val="000000"/>
          <w:sz w:val="36"/>
          <w:szCs w:val="36"/>
        </w:rPr>
      </w:pPr>
    </w:p>
    <w:p>
      <w:pPr>
        <w:spacing w:after="240"/>
        <w:jc w:val="center"/>
        <w:rPr>
          <w:rFonts w:ascii="宋体" w:hAnsi="宋体"/>
          <w:b/>
          <w:color w:val="000000"/>
          <w:sz w:val="36"/>
          <w:szCs w:val="36"/>
        </w:rPr>
      </w:pPr>
    </w:p>
    <w:p>
      <w:pPr>
        <w:rPr>
          <w:rFonts w:hint="eastAsia" w:ascii="宋体" w:hAnsi="宋体"/>
          <w:b/>
          <w:color w:val="000000"/>
          <w:sz w:val="32"/>
          <w:szCs w:val="32"/>
        </w:rPr>
      </w:pPr>
    </w:p>
    <w:p>
      <w:pPr>
        <w:pStyle w:val="7"/>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80" w:lineRule="exact"/>
        <w:ind w:right="64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t>第一章</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磋商邀请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人民医院外科大楼建渣外运及处理（第二次）</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1.项目名称：</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人民医院外科大楼建渣外运及处理（第二次）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2.采购人：三台县人民医院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.本次竞争性磋商不接受联合体参与；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.供应商及其现任法定代表人、主要负责人无行贿犯罪记录。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城市建筑垃圾处置（清运）等相关资质</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rPr>
        <w:t>三、报名要求：</w:t>
      </w:r>
      <w:r>
        <w:rPr>
          <w:rFonts w:hint="eastAsia" w:ascii="宋体" w:hAnsi="宋体" w:eastAsia="宋体" w:cs="宋体"/>
          <w:sz w:val="28"/>
          <w:szCs w:val="28"/>
        </w:rPr>
        <w:t>请潜在供应商致电三台县人民医院采购办报名，报名电话：0816-5222252，联系人：云老师、邹老师；报名时间：2023年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日至2023年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20</w:t>
      </w:r>
      <w:r>
        <w:rPr>
          <w:rFonts w:hint="eastAsia" w:ascii="宋体" w:hAnsi="宋体" w:eastAsia="宋体" w:cs="宋体"/>
          <w:sz w:val="28"/>
          <w:szCs w:val="28"/>
        </w:rPr>
        <w:t>日8:00～12:00、14:30～18:00（北京时间，法定节假日除外）。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递交响应文件截止时间：</w:t>
      </w:r>
      <w:r>
        <w:rPr>
          <w:rFonts w:hint="eastAsia" w:ascii="宋体" w:hAnsi="宋体" w:eastAsia="宋体" w:cs="宋体"/>
          <w:sz w:val="28"/>
          <w:szCs w:val="28"/>
        </w:rPr>
        <w:t>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磋商地点：</w:t>
      </w:r>
      <w:r>
        <w:rPr>
          <w:rFonts w:hint="eastAsia" w:ascii="宋体" w:hAnsi="宋体" w:eastAsia="宋体" w:cs="宋体"/>
          <w:sz w:val="28"/>
          <w:szCs w:val="28"/>
        </w:rPr>
        <w:t>三台县人民医院行政楼</w:t>
      </w:r>
      <w:r>
        <w:rPr>
          <w:rFonts w:hint="eastAsia" w:ascii="宋体" w:hAnsi="宋体" w:eastAsia="宋体" w:cs="宋体"/>
          <w:sz w:val="28"/>
          <w:szCs w:val="28"/>
          <w:lang w:eastAsia="zh-CN"/>
        </w:rPr>
        <w:t>二</w:t>
      </w:r>
      <w:r>
        <w:rPr>
          <w:rFonts w:hint="eastAsia" w:ascii="宋体" w:hAnsi="宋体" w:eastAsia="宋体" w:cs="宋体"/>
          <w:sz w:val="28"/>
          <w:szCs w:val="28"/>
        </w:rPr>
        <w:t>楼会议室。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磋商时间：</w:t>
      </w:r>
      <w:r>
        <w:rPr>
          <w:rFonts w:hint="eastAsia" w:ascii="宋体" w:hAnsi="宋体" w:eastAsia="宋体" w:cs="宋体"/>
          <w:sz w:val="28"/>
          <w:szCs w:val="28"/>
        </w:rPr>
        <w:t>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日15：00。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本磋商邀请在三台县人民医院官网上以公告形式发布。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采购人：</w:t>
      </w: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17</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人民医院外科大楼建渣外运及处理（第二次）</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二、项目名称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人民医院外科大楼建渣外运及处理（第二次）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三、服务内容及期限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cs="宋体"/>
          <w:color w:val="auto"/>
          <w:kern w:val="0"/>
          <w:sz w:val="28"/>
          <w:szCs w:val="28"/>
        </w:rPr>
        <w:t>（一）服务内容：</w:t>
      </w:r>
      <w:r>
        <w:rPr>
          <w:rFonts w:hint="eastAsia" w:ascii="宋体" w:hAnsi="宋体" w:cs="宋体"/>
          <w:color w:val="auto"/>
          <w:kern w:val="0"/>
          <w:sz w:val="28"/>
          <w:szCs w:val="28"/>
          <w:lang w:val="en-US" w:eastAsia="zh-CN"/>
        </w:rPr>
        <w:t>外科大楼建筑垃圾等外运及处置（建筑垃圾包含且不限于以下内容：拆除的隔墙、吊顶、地面装饰材料、门窗、PVC地板胶、保温材料，烂家具及其他废弃物品等）</w:t>
      </w:r>
      <w:r>
        <w:rPr>
          <w:rStyle w:val="15"/>
          <w:rFonts w:hint="eastAsia" w:ascii="仿宋" w:hAnsi="仿宋" w:eastAsia="仿宋"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（二）服务期限：</w:t>
      </w:r>
      <w:r>
        <w:rPr>
          <w:rFonts w:hint="eastAsia" w:ascii="宋体" w:hAnsi="宋体" w:cs="宋体"/>
          <w:sz w:val="28"/>
          <w:szCs w:val="28"/>
          <w:lang w:val="en-US" w:eastAsia="zh-CN"/>
        </w:rPr>
        <w:t>与外科大楼拆除工作同步</w:t>
      </w:r>
      <w:r>
        <w:rPr>
          <w:rFonts w:hint="eastAsia" w:cs="Times New Roman"/>
          <w:b w:val="0"/>
          <w:bCs w:val="0"/>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四、采购控制价、付款方式及其他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（一）控制价：</w:t>
      </w:r>
      <w:r>
        <w:rPr>
          <w:rFonts w:hint="eastAsia" w:ascii="宋体" w:hAnsi="宋体" w:cs="宋体"/>
          <w:color w:val="auto"/>
          <w:kern w:val="0"/>
          <w:sz w:val="28"/>
          <w:szCs w:val="28"/>
        </w:rPr>
        <w:t>本项目采购控制价</w:t>
      </w:r>
      <w:r>
        <w:rPr>
          <w:rFonts w:hint="eastAsia" w:ascii="宋体" w:hAnsi="宋体" w:cs="宋体"/>
          <w:color w:val="auto"/>
          <w:kern w:val="0"/>
          <w:sz w:val="28"/>
          <w:szCs w:val="28"/>
          <w:lang w:val="en-US" w:eastAsia="zh-CN"/>
        </w:rPr>
        <w:t>为</w:t>
      </w:r>
      <w:r>
        <w:rPr>
          <w:rFonts w:hint="eastAsia" w:ascii="宋体" w:hAnsi="宋体" w:cs="宋体"/>
          <w:color w:val="auto"/>
          <w:kern w:val="0"/>
          <w:sz w:val="28"/>
          <w:szCs w:val="28"/>
          <w:u w:val="none"/>
          <w:lang w:val="en-US" w:eastAsia="zh-CN"/>
        </w:rPr>
        <w:t>27.5</w:t>
      </w:r>
      <w:r>
        <w:rPr>
          <w:rFonts w:hint="eastAsia" w:ascii="宋体" w:hAnsi="宋体" w:cs="宋体"/>
          <w:color w:val="auto"/>
          <w:kern w:val="0"/>
          <w:sz w:val="28"/>
          <w:szCs w:val="28"/>
        </w:rPr>
        <w:t>万元，</w:t>
      </w:r>
      <w:r>
        <w:rPr>
          <w:rFonts w:hint="eastAsia" w:ascii="宋体" w:hAnsi="宋体" w:cs="宋体"/>
          <w:color w:val="auto"/>
          <w:kern w:val="0"/>
          <w:sz w:val="28"/>
          <w:szCs w:val="28"/>
          <w:lang w:val="en-US" w:eastAsia="zh-CN"/>
        </w:rPr>
        <w:t>单价（元/车）1100元，</w:t>
      </w:r>
      <w:r>
        <w:rPr>
          <w:rFonts w:hint="eastAsia" w:ascii="宋体" w:hAnsi="宋体" w:cs="宋体"/>
          <w:color w:val="auto"/>
          <w:kern w:val="0"/>
          <w:sz w:val="28"/>
          <w:szCs w:val="28"/>
        </w:rPr>
        <w:t>供应商的报价包含</w:t>
      </w:r>
      <w:bookmarkStart w:id="0" w:name="_Hlk89248287"/>
      <w:r>
        <w:rPr>
          <w:rFonts w:hint="eastAsia" w:ascii="宋体" w:hAnsi="宋体"/>
          <w:bCs/>
          <w:color w:val="auto"/>
          <w:sz w:val="28"/>
          <w:szCs w:val="28"/>
        </w:rPr>
        <w:t>成本、利润、风险费、税金等。</w:t>
      </w:r>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8"/>
          <w:szCs w:val="28"/>
          <w:lang w:val="en-US"/>
        </w:rPr>
      </w:pPr>
      <w:r>
        <w:rPr>
          <w:rFonts w:hint="eastAsia" w:ascii="宋体" w:hAnsi="宋体" w:eastAsia="宋体" w:cs="宋体"/>
          <w:sz w:val="28"/>
          <w:szCs w:val="28"/>
        </w:rPr>
        <w:t>（二）付款方式</w:t>
      </w: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lang w:val="en-US" w:eastAsia="zh-CN"/>
        </w:rPr>
        <w:t>每月按实际发生的工程量的80%支付，（2）工程实施完成后经发包人委托的造价公司出具结算审核报告后付至审核结算价的100%。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五、磋商时间、申请文件的密封、及递交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开标时间： 2023年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日15</w:t>
      </w:r>
      <w:r>
        <w:rPr>
          <w:rFonts w:hint="eastAsia" w:ascii="宋体" w:hAnsi="宋体" w:cs="宋体"/>
          <w:sz w:val="28"/>
          <w:szCs w:val="28"/>
          <w:lang w:eastAsia="zh-CN"/>
        </w:rPr>
        <w:t>：</w:t>
      </w:r>
      <w:r>
        <w:rPr>
          <w:rFonts w:hint="eastAsia" w:ascii="宋体" w:hAnsi="宋体" w:eastAsia="宋体" w:cs="宋体"/>
          <w:sz w:val="28"/>
          <w:szCs w:val="28"/>
        </w:rPr>
        <w:t>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开标地点：三台县人民医院行政楼二楼会议室。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申请文件份数：叁份（一正二副）。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密封：正副本密封到一个密封袋内，封口处加盖供应商公章。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逾期送达的或者未送达指定地点的，招标人不予受理。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六、竞争性磋商申请人（简称供应商）须具备的条件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.本次竞争性磋商不接受联合体参与；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.供应商及其现任法定代表人、主要负责人无行贿犯罪记录</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“城市建筑垃圾处置（清运）”等相关资质</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七、竞争性磋商申请文件需具有的资料(仅有但不限于)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1.法定代表人身份证明或法定代表人授权委托书；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2.企业法人营业执照（副本复印件，加盖公章）；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3.商业信誉承诺书；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4.供应商具有健全的财务会计制度承诺函；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5.具有履行合同所必须的设备和专业技术能力的承诺书；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6.参加本次采购活动前三年内，在经营活动中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重大违法记录的承诺函；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7.具有依法缴纳税收和社会保障资金良好记录的承诺书；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8.供应商及其现任法定代表人、主要负责人无行贿犯罪记录的书面声明；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9.报价函；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ascii="宋体" w:hAnsi="宋体" w:cs="宋体"/>
          <w:sz w:val="28"/>
          <w:szCs w:val="28"/>
          <w:lang w:val="en-US" w:eastAsia="zh-CN"/>
        </w:rPr>
        <w:t>10</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“城市建筑垃圾处置（清运）”等相关资质</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八、评标标准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（1）磋商小组由采购人或委托具有相应专业的评审专家3人组成；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（2）首先是资格审查，是针对供应商的类似经验等采用的强制性标准法。只有完全满足资格审查各项强制性标准的供应商才能进入下一个阶段的评审。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九、中标通知书的发放与合同签订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评标结果确定后，采购人在指定网站进行公示，公示结束后，采购人与排名第一的成交供应商签订采购合同。</w:t>
      </w:r>
    </w:p>
    <w:p>
      <w:pPr>
        <w:rPr>
          <w:rFonts w:hint="eastAsia" w:ascii="宋体" w:hAnsi="宋体"/>
          <w:b/>
          <w:color w:val="000000"/>
          <w:sz w:val="24"/>
        </w:rPr>
      </w:pPr>
      <w:r>
        <w:rPr>
          <w:rFonts w:hint="eastAsia" w:ascii="宋体" w:hAnsi="宋体"/>
          <w:b/>
          <w:color w:val="000000"/>
          <w:sz w:val="24"/>
        </w:rPr>
        <w:br w:type="page"/>
      </w:r>
    </w:p>
    <w:p>
      <w:pPr>
        <w:spacing w:line="360" w:lineRule="auto"/>
        <w:rPr>
          <w:rFonts w:ascii="宋体" w:hAnsi="宋体"/>
          <w:b/>
          <w:color w:val="000000"/>
          <w:sz w:val="24"/>
        </w:rPr>
      </w:pPr>
      <w:r>
        <w:rPr>
          <w:rFonts w:hint="eastAsia" w:ascii="宋体" w:hAnsi="宋体"/>
          <w:b/>
          <w:color w:val="000000"/>
          <w:sz w:val="24"/>
        </w:rPr>
        <w:t>附件1：磋商文件格式</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5"/>
        <w:spacing w:before="0" w:after="0" w:line="360" w:lineRule="auto"/>
        <w:jc w:val="both"/>
        <w:rPr>
          <w:rFonts w:ascii="宋体" w:hAnsi="宋体" w:cs="宋体"/>
          <w:b w:val="0"/>
          <w:color w:val="000000"/>
          <w:sz w:val="44"/>
          <w:szCs w:val="44"/>
        </w:rPr>
      </w:pPr>
      <w:r>
        <w:rPr>
          <w:rFonts w:hint="eastAsia" w:ascii="宋体" w:hAnsi="宋体" w:cs="宋体"/>
          <w:b w:val="0"/>
          <w:color w:val="000000"/>
          <w:sz w:val="44"/>
          <w:szCs w:val="44"/>
        </w:rPr>
        <w:t>封面格式：</w:t>
      </w:r>
    </w:p>
    <w:p>
      <w:pPr>
        <w:rPr>
          <w:rFonts w:ascii="宋体" w:hAnsi="宋体"/>
          <w:color w:val="000000"/>
        </w:rPr>
      </w:pPr>
    </w:p>
    <w:p>
      <w:pPr>
        <w:pStyle w:val="6"/>
        <w:jc w:val="right"/>
        <w:rPr>
          <w:rFonts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jc w:val="center"/>
        <w:rPr>
          <w:rFonts w:ascii="宋体" w:hAnsi="宋体" w:cs="宋体"/>
          <w:b/>
          <w:bCs/>
          <w:color w:val="000000"/>
          <w:sz w:val="48"/>
        </w:rPr>
      </w:pPr>
      <w:r>
        <w:rPr>
          <w:rFonts w:hint="eastAsia" w:ascii="宋体" w:hAnsi="宋体" w:cs="宋体"/>
          <w:b/>
          <w:bCs/>
          <w:color w:val="000000"/>
          <w:sz w:val="48"/>
        </w:rPr>
        <w:t>响应文件</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rPr>
          <w:rFonts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ascii="宋体" w:hAnsi="宋体" w:cs="宋体"/>
          <w:b/>
          <w:bCs/>
          <w:color w:val="000000"/>
          <w:sz w:val="48"/>
        </w:rPr>
      </w:pPr>
    </w:p>
    <w:p>
      <w:pPr>
        <w:spacing w:line="360" w:lineRule="auto"/>
        <w:rPr>
          <w:rFonts w:ascii="宋体" w:hAnsi="宋体" w:cs="宋体"/>
          <w:color w:val="000000"/>
          <w:sz w:val="48"/>
        </w:rPr>
      </w:pPr>
    </w:p>
    <w:p>
      <w:pPr>
        <w:spacing w:line="360" w:lineRule="auto"/>
        <w:rPr>
          <w:rFonts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w:t>
      </w:r>
      <w:r>
        <w:rPr>
          <w:rFonts w:hint="eastAsia" w:ascii="宋体" w:hAnsi="宋体" w:cs="宋体"/>
          <w:b/>
          <w:bCs/>
          <w:color w:val="000000"/>
          <w:sz w:val="48"/>
          <w:lang w:val="en-US" w:eastAsia="zh-CN"/>
        </w:rPr>
        <w:t xml:space="preserve">    </w:t>
      </w:r>
      <w:r>
        <w:rPr>
          <w:rFonts w:hint="eastAsia" w:ascii="宋体" w:hAnsi="宋体" w:cs="宋体"/>
          <w:b/>
          <w:bCs/>
          <w:color w:val="000000"/>
          <w:sz w:val="48"/>
        </w:rPr>
        <w:t>年  月  日</w:t>
      </w: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pStyle w:val="8"/>
        <w:spacing w:line="500" w:lineRule="exact"/>
        <w:ind w:left="0" w:leftChars="0"/>
        <w:jc w:val="both"/>
        <w:rPr>
          <w:rFonts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bCs/>
          <w:color w:val="000000"/>
          <w:sz w:val="28"/>
          <w:szCs w:val="28"/>
        </w:rPr>
      </w:pPr>
      <w:r>
        <w:rPr>
          <w:rFonts w:hint="eastAsia"/>
          <w:color w:val="000000"/>
          <w:sz w:val="28"/>
          <w:szCs w:val="28"/>
        </w:rPr>
        <w:t>1、我公司全面研究了</w:t>
      </w:r>
      <w:r>
        <w:rPr>
          <w:rFonts w:hint="eastAsia" w:ascii="宋体" w:hAnsi="宋体"/>
          <w:bCs w:val="0"/>
          <w:color w:val="000000"/>
          <w:sz w:val="28"/>
          <w:szCs w:val="28"/>
          <w:u w:val="none"/>
        </w:rPr>
        <w:t>三台县</w:t>
      </w:r>
      <w:r>
        <w:rPr>
          <w:rFonts w:hint="eastAsia" w:ascii="宋体" w:hAnsi="宋体"/>
          <w:bCs w:val="0"/>
          <w:color w:val="000000"/>
          <w:sz w:val="28"/>
          <w:szCs w:val="28"/>
          <w:u w:val="none"/>
          <w:lang w:val="en-US" w:eastAsia="zh-CN"/>
        </w:rPr>
        <w:t>人民医院外科大楼建渣外运及处理</w:t>
      </w:r>
      <w:r>
        <w:rPr>
          <w:rFonts w:hint="eastAsia"/>
          <w:color w:val="000000"/>
          <w:sz w:val="28"/>
          <w:szCs w:val="28"/>
        </w:rPr>
        <w:t>的院内竞争性磋商文件及相关资料，我们将遵照竞争性磋商文件的要求承担相应的全部工作。</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hint="eastAsia" w:ascii="宋体" w:hAnsi="宋体"/>
          <w:bCs/>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bookmarkStart w:id="4" w:name="_GoBack"/>
      <w:bookmarkEnd w:id="4"/>
      <w:bookmarkStart w:id="1" w:name="OLE_LINK1"/>
      <w:bookmarkStart w:id="2" w:name="OLE_LINK2"/>
    </w:p>
    <w:tbl>
      <w:tblPr>
        <w:tblStyle w:val="11"/>
        <w:tblW w:w="836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520"/>
        <w:gridCol w:w="1260"/>
        <w:gridCol w:w="1080"/>
        <w:gridCol w:w="10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55"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序号</w:t>
            </w:r>
          </w:p>
        </w:tc>
        <w:tc>
          <w:tcPr>
            <w:tcW w:w="3520"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运渣车规格</w:t>
            </w:r>
          </w:p>
        </w:tc>
        <w:tc>
          <w:tcPr>
            <w:tcW w:w="1260"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单价（元/车）</w:t>
            </w:r>
          </w:p>
        </w:tc>
        <w:tc>
          <w:tcPr>
            <w:tcW w:w="1080"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数量（车）</w:t>
            </w:r>
          </w:p>
        </w:tc>
        <w:tc>
          <w:tcPr>
            <w:tcW w:w="1035"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合价（元）</w:t>
            </w:r>
          </w:p>
        </w:tc>
        <w:tc>
          <w:tcPr>
            <w:tcW w:w="718" w:type="dxa"/>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val="0"/>
                <w:bCs w:val="0"/>
                <w:color w:val="000000"/>
                <w:sz w:val="24"/>
                <w:szCs w:val="24"/>
                <w:vertAlign w:val="baseline"/>
                <w:lang w:val="en-US" w:eastAsia="zh-CN"/>
              </w:rPr>
            </w:pPr>
            <w:r>
              <w:rPr>
                <w:rStyle w:val="15"/>
                <w:rFonts w:hint="eastAsia" w:ascii="仿宋" w:hAnsi="仿宋" w:eastAsia="仿宋"/>
                <w:b w:val="0"/>
                <w:bCs w:val="0"/>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5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1</w:t>
            </w:r>
          </w:p>
        </w:tc>
        <w:tc>
          <w:tcPr>
            <w:tcW w:w="3520"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双桥或四桥自卸汽车，车辆长、宽、高分别不低于6.2米、2.35米和1.5米，确保每次容量不低于20立方米。</w:t>
            </w:r>
          </w:p>
        </w:tc>
        <w:tc>
          <w:tcPr>
            <w:tcW w:w="1260"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u w:val="single"/>
                <w:vertAlign w:val="baseline"/>
                <w:lang w:val="en-US" w:eastAsia="zh-CN"/>
              </w:rPr>
              <w:t xml:space="preserve">     元</w:t>
            </w:r>
            <w:r>
              <w:rPr>
                <w:rStyle w:val="15"/>
                <w:rFonts w:hint="eastAsia" w:ascii="仿宋" w:hAnsi="仿宋" w:eastAsia="仿宋"/>
                <w:b w:val="0"/>
                <w:bCs w:val="0"/>
                <w:color w:val="000000"/>
                <w:sz w:val="24"/>
                <w:szCs w:val="24"/>
                <w:vertAlign w:val="baseline"/>
                <w:lang w:val="en-US" w:eastAsia="zh-CN"/>
              </w:rPr>
              <w:t>/每车</w:t>
            </w:r>
          </w:p>
        </w:tc>
        <w:tc>
          <w:tcPr>
            <w:tcW w:w="1080"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250车</w:t>
            </w:r>
          </w:p>
        </w:tc>
        <w:tc>
          <w:tcPr>
            <w:tcW w:w="1035"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p>
        </w:tc>
        <w:tc>
          <w:tcPr>
            <w:tcW w:w="718" w:type="dxa"/>
            <w:noWrap w:val="0"/>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center"/>
              <w:textAlignment w:val="auto"/>
              <w:rPr>
                <w:rStyle w:val="15"/>
                <w:rFonts w:hint="default" w:ascii="仿宋" w:hAnsi="仿宋" w:eastAsia="仿宋"/>
                <w:b/>
                <w:bCs/>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8" w:type="dxa"/>
            <w:gridSpan w:val="6"/>
            <w:noWrap w:val="0"/>
            <w:vAlign w:val="top"/>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159"/>
              <w:jc w:val="left"/>
              <w:textAlignment w:val="auto"/>
              <w:rPr>
                <w:rStyle w:val="15"/>
                <w:rFonts w:hint="default" w:ascii="仿宋" w:hAnsi="仿宋" w:eastAsia="仿宋"/>
                <w:b/>
                <w:bCs/>
                <w:color w:val="000000"/>
                <w:sz w:val="32"/>
                <w:szCs w:val="32"/>
                <w:vertAlign w:val="baseline"/>
                <w:lang w:val="en-US" w:eastAsia="zh-CN"/>
              </w:rPr>
            </w:pPr>
            <w:r>
              <w:rPr>
                <w:rStyle w:val="15"/>
                <w:rFonts w:hint="eastAsia" w:ascii="仿宋" w:hAnsi="仿宋" w:eastAsia="仿宋"/>
                <w:b w:val="0"/>
                <w:bCs w:val="0"/>
                <w:color w:val="000000"/>
                <w:sz w:val="24"/>
                <w:szCs w:val="24"/>
                <w:vertAlign w:val="baseline"/>
                <w:lang w:val="en-US" w:eastAsia="zh-CN"/>
              </w:rPr>
              <w:t>注：1、每车报价包含</w:t>
            </w:r>
            <w:r>
              <w:rPr>
                <w:rFonts w:hint="eastAsia" w:ascii="仿宋" w:hAnsi="仿宋" w:eastAsia="仿宋"/>
                <w:sz w:val="24"/>
                <w:szCs w:val="24"/>
                <w:lang w:val="en-US" w:eastAsia="zh-CN"/>
              </w:rPr>
              <w:t>建渣集中堆放点装车</w:t>
            </w:r>
            <w:r>
              <w:rPr>
                <w:rFonts w:hint="eastAsia" w:ascii="仿宋" w:hAnsi="仿宋" w:eastAsia="仿宋"/>
                <w:sz w:val="24"/>
                <w:szCs w:val="24"/>
              </w:rPr>
              <w:t>、</w:t>
            </w:r>
            <w:r>
              <w:rPr>
                <w:rFonts w:hint="eastAsia" w:ascii="仿宋" w:hAnsi="仿宋" w:eastAsia="仿宋"/>
                <w:sz w:val="24"/>
                <w:szCs w:val="24"/>
                <w:lang w:val="en-US" w:eastAsia="zh-CN"/>
              </w:rPr>
              <w:t>运输</w:t>
            </w:r>
            <w:r>
              <w:rPr>
                <w:rFonts w:hint="eastAsia" w:ascii="仿宋" w:hAnsi="仿宋" w:eastAsia="仿宋"/>
                <w:sz w:val="24"/>
                <w:szCs w:val="24"/>
              </w:rPr>
              <w:t>、</w:t>
            </w:r>
            <w:r>
              <w:rPr>
                <w:rFonts w:hint="eastAsia" w:ascii="仿宋" w:hAnsi="仿宋" w:eastAsia="仿宋"/>
                <w:sz w:val="24"/>
                <w:szCs w:val="24"/>
                <w:lang w:val="en-US" w:eastAsia="zh-CN"/>
              </w:rPr>
              <w:t>合法地点卸车并处置、</w:t>
            </w:r>
            <w:r>
              <w:rPr>
                <w:rFonts w:hint="eastAsia" w:ascii="仿宋" w:hAnsi="仿宋" w:eastAsia="仿宋"/>
                <w:sz w:val="24"/>
                <w:szCs w:val="24"/>
              </w:rPr>
              <w:t>税金等一切费用</w:t>
            </w:r>
            <w:r>
              <w:rPr>
                <w:rStyle w:val="15"/>
                <w:rFonts w:hint="eastAsia" w:ascii="仿宋" w:hAnsi="仿宋" w:eastAsia="仿宋" w:cs="Times New Roman"/>
                <w:color w:val="000000"/>
                <w:kern w:val="0"/>
                <w:sz w:val="24"/>
                <w:szCs w:val="24"/>
                <w:lang w:val="en-US" w:eastAsia="zh-CN" w:bidi="ar-SA"/>
              </w:rPr>
              <w:t>。2、本次建筑垃圾外运及处置工程量约为5000立方米（250车）为预估工程量，最终以实际发生工作量为准。</w:t>
            </w:r>
          </w:p>
        </w:tc>
      </w:tr>
      <w:bookmarkEnd w:id="1"/>
      <w:bookmarkEnd w:id="2"/>
    </w:tbl>
    <w:p>
      <w:pPr>
        <w:spacing w:line="360" w:lineRule="auto"/>
        <w:jc w:val="left"/>
        <w:rPr>
          <w:rFonts w:ascii="宋体" w:hAnsi="宋体"/>
          <w:color w:val="000000"/>
          <w:sz w:val="24"/>
        </w:rPr>
      </w:pPr>
    </w:p>
    <w:p>
      <w:pPr>
        <w:spacing w:line="480" w:lineRule="auto"/>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rPr>
          <w:rFonts w:ascii="宋体" w:hAnsi="宋体" w:cs="宋体"/>
          <w:color w:val="000000"/>
          <w:sz w:val="28"/>
          <w:szCs w:val="28"/>
        </w:rPr>
      </w:pPr>
      <w:r>
        <w:rPr>
          <w:rFonts w:hint="eastAsia" w:ascii="宋体" w:hAnsi="宋体" w:cs="宋体"/>
          <w:color w:val="000000"/>
          <w:sz w:val="28"/>
          <w:szCs w:val="28"/>
        </w:rPr>
        <w:t>日  期：       年    月    日</w:t>
      </w: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6"/>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color w:val="000000"/>
        </w:rPr>
      </w:pPr>
    </w:p>
    <w:p>
      <w:pPr>
        <w:rPr>
          <w:color w:val="000000"/>
        </w:rPr>
      </w:pPr>
    </w:p>
    <w:p>
      <w:pPr>
        <w:pStyle w:val="6"/>
        <w:rPr>
          <w:rFonts w:ascii="宋体" w:hAnsi="宋体"/>
          <w:color w:val="000000"/>
        </w:rPr>
      </w:pPr>
    </w:p>
    <w:p>
      <w:pPr>
        <w:rPr>
          <w:rFonts w:ascii="宋体" w:hAnsi="宋体"/>
          <w:color w:val="00000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both"/>
        <w:rPr>
          <w:rFonts w:ascii="宋体" w:hAnsi="宋体"/>
          <w:b/>
          <w:color w:val="000000"/>
          <w:sz w:val="28"/>
          <w:szCs w:val="28"/>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8"/>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rPr>
          <w:rFonts w:ascii="宋体" w:hAnsi="宋体"/>
          <w:b/>
          <w:color w:val="000000"/>
          <w:sz w:val="24"/>
        </w:rPr>
      </w:pPr>
      <w:r>
        <w:rPr>
          <w:rFonts w:hint="eastAsia" w:ascii="宋体" w:hAnsi="宋体"/>
          <w:b/>
          <w:color w:val="000000"/>
          <w:sz w:val="24"/>
        </w:rPr>
        <w:t xml:space="preserve">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6"/>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6"/>
        <w:rPr>
          <w:rFonts w:ascii="宋体" w:hAnsi="宋体"/>
          <w:b/>
          <w:color w:val="000000"/>
          <w:sz w:val="28"/>
          <w:szCs w:val="28"/>
        </w:rPr>
      </w:pPr>
    </w:p>
    <w:p>
      <w:pPr>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pStyle w:val="8"/>
        <w:spacing w:line="500" w:lineRule="exact"/>
        <w:ind w:left="0" w:leftChars="0"/>
        <w:jc w:val="center"/>
        <w:rPr>
          <w:rFonts w:hint="eastAsia"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8"/>
        <w:spacing w:line="500" w:lineRule="exact"/>
        <w:ind w:left="0" w:leftChars="0" w:firstLine="0" w:firstLineChars="0"/>
        <w:rPr>
          <w:rFonts w:ascii="宋体" w:hAnsi="宋体"/>
          <w:b/>
          <w:color w:val="000000"/>
          <w:sz w:val="32"/>
          <w:szCs w:val="32"/>
        </w:rPr>
      </w:pPr>
      <w:r>
        <w:rPr>
          <w:rFonts w:hint="eastAsia" w:ascii="宋体" w:hAnsi="宋体"/>
          <w:color w:val="000000"/>
          <w:sz w:val="28"/>
          <w:szCs w:val="28"/>
        </w:rPr>
        <w:t>日  期：      年     月   日</w:t>
      </w: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pStyle w:val="8"/>
        <w:spacing w:line="500" w:lineRule="exact"/>
        <w:ind w:left="0" w:leftChars="0"/>
        <w:jc w:val="center"/>
        <w:rPr>
          <w:rFonts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法定代表人身份证明</w:t>
      </w:r>
    </w:p>
    <w:p>
      <w:pPr>
        <w:pStyle w:val="8"/>
        <w:spacing w:line="500" w:lineRule="exact"/>
        <w:ind w:left="0" w:leftChars="0"/>
        <w:jc w:val="center"/>
        <w:rPr>
          <w:rFonts w:hint="eastAsia" w:ascii="宋体" w:hAnsi="宋体"/>
          <w:b/>
          <w:color w:val="000000"/>
          <w:sz w:val="32"/>
          <w:szCs w:val="32"/>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8"/>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pStyle w:val="6"/>
        <w:rPr>
          <w:rFonts w:ascii="宋体" w:hAnsi="宋体" w:cs="宋体"/>
          <w:bCs/>
          <w:color w:val="000000"/>
          <w:sz w:val="22"/>
        </w:rPr>
      </w:pPr>
    </w:p>
    <w:p>
      <w:pPr>
        <w:widowControl/>
        <w:spacing w:line="330" w:lineRule="atLeast"/>
        <w:jc w:val="left"/>
        <w:rPr>
          <w:rFonts w:ascii="宋体" w:hAnsi="宋体" w:cs="宋体"/>
          <w:bCs/>
          <w:color w:val="000000"/>
          <w:kern w:val="0"/>
          <w:sz w:val="22"/>
        </w:rPr>
      </w:pPr>
    </w:p>
    <w:p>
      <w:pPr>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br w:type="page"/>
      </w:r>
    </w:p>
    <w:p>
      <w:pPr>
        <w:widowControl/>
        <w:spacing w:line="330" w:lineRule="atLeast"/>
        <w:jc w:val="left"/>
        <w:rPr>
          <w:rFonts w:ascii="宋体" w:hAnsi="宋体" w:cs="宋体"/>
          <w:b/>
          <w:color w:val="000000"/>
          <w:kern w:val="0"/>
          <w:sz w:val="28"/>
          <w:szCs w:val="28"/>
        </w:rPr>
      </w:pPr>
      <w:r>
        <w:rPr>
          <w:rFonts w:hint="eastAsia" w:ascii="宋体" w:hAnsi="宋体" w:cs="宋体"/>
          <w:b/>
          <w:color w:val="000000"/>
          <w:kern w:val="0"/>
          <w:sz w:val="28"/>
          <w:szCs w:val="28"/>
        </w:rPr>
        <w:t>附件2：竞争性磋商评分表</w:t>
      </w:r>
    </w:p>
    <w:tbl>
      <w:tblPr>
        <w:tblStyle w:val="10"/>
        <w:tblW w:w="9323"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28"/>
        <w:gridCol w:w="655"/>
        <w:gridCol w:w="59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序号</w:t>
            </w:r>
          </w:p>
        </w:tc>
        <w:tc>
          <w:tcPr>
            <w:tcW w:w="828"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评分因素及权重</w:t>
            </w:r>
          </w:p>
        </w:tc>
        <w:tc>
          <w:tcPr>
            <w:tcW w:w="65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分值</w:t>
            </w:r>
          </w:p>
        </w:tc>
        <w:tc>
          <w:tcPr>
            <w:tcW w:w="590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评分标准</w:t>
            </w:r>
          </w:p>
        </w:tc>
        <w:tc>
          <w:tcPr>
            <w:tcW w:w="1380"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1</w:t>
            </w:r>
          </w:p>
        </w:tc>
        <w:tc>
          <w:tcPr>
            <w:tcW w:w="828"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报价</w:t>
            </w:r>
          </w:p>
        </w:tc>
        <w:tc>
          <w:tcPr>
            <w:tcW w:w="655" w:type="dxa"/>
            <w:noWrap/>
            <w:vAlign w:val="center"/>
          </w:tcPr>
          <w:p>
            <w:pPr>
              <w:wordWrap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p>
        </w:tc>
        <w:tc>
          <w:tcPr>
            <w:tcW w:w="5905" w:type="dxa"/>
            <w:noWrap/>
            <w:vAlign w:val="center"/>
          </w:tcPr>
          <w:p>
            <w:pPr>
              <w:wordWrap w:val="0"/>
              <w:spacing w:line="280" w:lineRule="exact"/>
              <w:jc w:val="left"/>
              <w:rPr>
                <w:rFonts w:hint="eastAsia" w:ascii="宋体" w:hAnsi="宋体" w:eastAsia="宋体" w:cs="宋体"/>
                <w:color w:val="000000"/>
                <w:szCs w:val="21"/>
                <w:lang w:val="en-US" w:eastAsia="zh-CN"/>
              </w:rPr>
            </w:pPr>
            <w:r>
              <w:t>满足</w:t>
            </w:r>
            <w:r>
              <w:rPr>
                <w:rFonts w:hint="eastAsia"/>
                <w:lang w:val="en-US" w:eastAsia="zh-CN"/>
              </w:rPr>
              <w:t>磋商</w:t>
            </w:r>
            <w:r>
              <w:t>文件要求且投标价格最低的投标报价为评标基准价，其价格分为满分。其他投标人的价格分统一按照下列公式计算：投标报价得分=(评标基准价／投标报价)*</w:t>
            </w:r>
            <w:r>
              <w:rPr>
                <w:rFonts w:hint="eastAsia"/>
                <w:lang w:val="en-US" w:eastAsia="zh-CN"/>
              </w:rPr>
              <w:t>30。</w:t>
            </w:r>
          </w:p>
        </w:tc>
        <w:tc>
          <w:tcPr>
            <w:tcW w:w="1380" w:type="dxa"/>
            <w:noWrap/>
          </w:tcPr>
          <w:p>
            <w:pPr>
              <w:autoSpaceDE w:val="0"/>
              <w:autoSpaceDN w:val="0"/>
              <w:adjustRightInd w:val="0"/>
              <w:spacing w:line="28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2</w:t>
            </w:r>
          </w:p>
        </w:tc>
        <w:tc>
          <w:tcPr>
            <w:tcW w:w="828" w:type="dxa"/>
            <w:noWrap/>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业绩</w:t>
            </w:r>
          </w:p>
        </w:tc>
        <w:tc>
          <w:tcPr>
            <w:tcW w:w="655" w:type="dxa"/>
            <w:noWrap/>
            <w:vAlign w:val="center"/>
          </w:tcPr>
          <w:p>
            <w:pPr>
              <w:wordWrap w:val="0"/>
              <w:spacing w:line="280" w:lineRule="exact"/>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15</w:t>
            </w:r>
          </w:p>
        </w:tc>
        <w:tc>
          <w:tcPr>
            <w:tcW w:w="5905" w:type="dxa"/>
            <w:noWrap/>
            <w:vAlign w:val="center"/>
          </w:tcPr>
          <w:p>
            <w:pPr>
              <w:spacing w:line="280" w:lineRule="exact"/>
              <w:jc w:val="left"/>
              <w:rPr>
                <w:rFonts w:hint="eastAsia" w:ascii="宋体" w:hAnsi="宋体" w:eastAsia="宋体" w:cs="宋体"/>
                <w:color w:val="00B0F0"/>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cs="宋体"/>
                <w:sz w:val="21"/>
                <w:szCs w:val="21"/>
                <w:lang w:val="en-US" w:eastAsia="zh-CN"/>
              </w:rPr>
              <w:t>建筑垃圾清运</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15</w:t>
            </w:r>
            <w:r>
              <w:rPr>
                <w:rFonts w:hint="eastAsia" w:ascii="宋体" w:hAnsi="宋体" w:eastAsia="宋体" w:cs="宋体"/>
                <w:sz w:val="21"/>
                <w:szCs w:val="21"/>
              </w:rPr>
              <w:t>分</w:t>
            </w:r>
            <w:r>
              <w:rPr>
                <w:rFonts w:hint="eastAsia" w:ascii="宋体" w:hAnsi="宋体" w:cs="宋体"/>
                <w:sz w:val="21"/>
                <w:szCs w:val="21"/>
                <w:lang w:eastAsia="zh-CN"/>
              </w:rPr>
              <w:t>。</w:t>
            </w:r>
          </w:p>
        </w:tc>
        <w:tc>
          <w:tcPr>
            <w:tcW w:w="1380" w:type="dxa"/>
            <w:noWrap/>
            <w:vAlign w:val="center"/>
          </w:tcPr>
          <w:p>
            <w:pPr>
              <w:spacing w:line="280" w:lineRule="exact"/>
              <w:ind w:right="-20"/>
              <w:jc w:val="center"/>
              <w:rPr>
                <w:rFonts w:ascii="宋体" w:hAnsi="宋体" w:cs="宋体"/>
                <w:color w:val="000000"/>
              </w:rPr>
            </w:pPr>
            <w:r>
              <w:rPr>
                <w:rFonts w:hint="eastAsia" w:ascii="宋体" w:hAnsi="宋体" w:cs="宋体"/>
                <w:szCs w:val="21"/>
                <w:lang w:val="zh-CN"/>
              </w:rPr>
              <w:t>提供相关合同</w:t>
            </w:r>
            <w:r>
              <w:rPr>
                <w:rFonts w:hint="eastAsia" w:ascii="宋体" w:hAnsi="宋体" w:cs="宋体"/>
                <w:szCs w:val="21"/>
              </w:rPr>
              <w:t>或</w:t>
            </w:r>
            <w:r>
              <w:rPr>
                <w:rFonts w:hint="eastAsia" w:ascii="宋体" w:hAnsi="宋体" w:cs="宋体"/>
                <w:szCs w:val="21"/>
                <w:lang w:val="zh-CN"/>
              </w:rPr>
              <w:t>协议文件</w:t>
            </w:r>
            <w:r>
              <w:rPr>
                <w:rFonts w:hint="eastAsia" w:ascii="宋体" w:hAnsi="宋体" w:cs="宋体"/>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28" w:type="dxa"/>
            <w:noWrap/>
            <w:vAlign w:val="center"/>
          </w:tcPr>
          <w:p>
            <w:pPr>
              <w:wordWrap w:val="0"/>
              <w:spacing w:line="280" w:lineRule="exact"/>
              <w:jc w:val="center"/>
              <w:rPr>
                <w:rFonts w:hint="eastAsia" w:ascii="宋体" w:hAnsi="宋体" w:cs="宋体"/>
                <w:bCs/>
                <w:color w:val="000000"/>
                <w:szCs w:val="21"/>
              </w:rPr>
            </w:pPr>
            <w:r>
              <w:rPr>
                <w:rFonts w:hint="eastAsia" w:ascii="宋体" w:hAnsi="宋体" w:cs="宋体"/>
                <w:bCs/>
                <w:color w:val="000000"/>
                <w:szCs w:val="21"/>
                <w:lang w:val="en-US" w:eastAsia="zh-CN"/>
              </w:rPr>
              <w:t>人</w:t>
            </w:r>
            <w:r>
              <w:rPr>
                <w:rFonts w:hint="eastAsia" w:ascii="宋体" w:hAnsi="宋体" w:cs="宋体"/>
                <w:bCs/>
                <w:color w:val="000000"/>
                <w:szCs w:val="21"/>
              </w:rPr>
              <w:t>员</w:t>
            </w:r>
            <w:r>
              <w:rPr>
                <w:rFonts w:hint="eastAsia" w:ascii="宋体" w:hAnsi="宋体" w:cs="宋体"/>
                <w:bCs/>
                <w:color w:val="000000"/>
                <w:szCs w:val="21"/>
                <w:lang w:eastAsia="zh-CN"/>
              </w:rPr>
              <w:t>配备</w:t>
            </w:r>
          </w:p>
          <w:p>
            <w:pPr>
              <w:wordWrap w:val="0"/>
              <w:spacing w:line="280" w:lineRule="exact"/>
              <w:jc w:val="center"/>
              <w:rPr>
                <w:rFonts w:ascii="宋体" w:hAnsi="宋体" w:cs="宋体"/>
                <w:bCs/>
                <w:color w:val="000000" w:themeColor="text1"/>
                <w:szCs w:val="21"/>
                <w14:textFill>
                  <w14:solidFill>
                    <w14:schemeClr w14:val="tx1"/>
                  </w14:solidFill>
                </w14:textFill>
              </w:rPr>
            </w:pPr>
          </w:p>
        </w:tc>
        <w:tc>
          <w:tcPr>
            <w:tcW w:w="655" w:type="dxa"/>
            <w:noWrap/>
            <w:vAlign w:val="center"/>
          </w:tcPr>
          <w:p>
            <w:pPr>
              <w:autoSpaceDE w:val="0"/>
              <w:autoSpaceDN w:val="0"/>
              <w:adjustRightIn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5905" w:type="dxa"/>
            <w:noWrap/>
            <w:vAlign w:val="center"/>
          </w:tcPr>
          <w:p>
            <w:pPr>
              <w:numPr>
                <w:ilvl w:val="0"/>
                <w:numId w:val="0"/>
              </w:numPr>
              <w:wordWrap w:val="0"/>
              <w:spacing w:line="276" w:lineRule="auto"/>
              <w:rPr>
                <w:rFonts w:hint="eastAsia" w:eastAsia="宋体"/>
                <w:lang w:eastAsia="zh-CN"/>
              </w:rPr>
            </w:pPr>
            <w:r>
              <w:rPr>
                <w:rFonts w:hint="eastAsia"/>
                <w:lang w:val="en-US" w:eastAsia="zh-CN"/>
              </w:rPr>
              <w:t>1</w:t>
            </w:r>
            <w:r>
              <w:t>、项目经理具备建筑工程专业二级或以上建造师注册证且具备有效的安全生产考核合格B证得</w:t>
            </w:r>
            <w:r>
              <w:rPr>
                <w:rFonts w:hint="eastAsia"/>
                <w:lang w:val="en-US" w:eastAsia="zh-CN"/>
              </w:rPr>
              <w:t>5</w:t>
            </w:r>
            <w:r>
              <w:t>分</w:t>
            </w:r>
            <w:r>
              <w:rPr>
                <w:rFonts w:hint="eastAsia"/>
                <w:lang w:eastAsia="zh-CN"/>
              </w:rPr>
              <w:t>。</w:t>
            </w:r>
          </w:p>
          <w:p>
            <w:pPr>
              <w:numPr>
                <w:ilvl w:val="0"/>
                <w:numId w:val="0"/>
              </w:numPr>
              <w:wordWrap w:val="0"/>
              <w:spacing w:line="276" w:lineRule="auto"/>
            </w:pPr>
            <w:r>
              <w:rPr>
                <w:rFonts w:hint="eastAsia"/>
                <w:lang w:val="en-US" w:eastAsia="zh-CN"/>
              </w:rPr>
              <w:t>2</w:t>
            </w:r>
            <w:r>
              <w:t>、团队其他人员具有安全员（具有安考C证）得</w:t>
            </w:r>
            <w:r>
              <w:rPr>
                <w:rFonts w:hint="eastAsia"/>
                <w:lang w:val="en-US" w:eastAsia="zh-CN"/>
              </w:rPr>
              <w:t>5</w:t>
            </w:r>
            <w:r>
              <w:t xml:space="preserve">分。 </w:t>
            </w:r>
          </w:p>
          <w:p>
            <w:pPr>
              <w:numPr>
                <w:ilvl w:val="0"/>
                <w:numId w:val="0"/>
              </w:numPr>
              <w:wordWrap w:val="0"/>
              <w:spacing w:line="276" w:lineRule="auto"/>
              <w:rPr>
                <w:color w:val="000000" w:themeColor="text1"/>
                <w14:textFill>
                  <w14:solidFill>
                    <w14:schemeClr w14:val="tx1"/>
                  </w14:solidFill>
                </w14:textFill>
              </w:rPr>
            </w:pPr>
            <w:r>
              <w:t>本项最高得1</w:t>
            </w:r>
            <w:r>
              <w:rPr>
                <w:rFonts w:hint="eastAsia"/>
                <w:lang w:val="en-US" w:eastAsia="zh-CN"/>
              </w:rPr>
              <w:t>5</w:t>
            </w:r>
            <w:r>
              <w:t>分，未提供不得分。</w:t>
            </w:r>
          </w:p>
          <w:p>
            <w:pPr>
              <w:numPr>
                <w:ilvl w:val="0"/>
                <w:numId w:val="0"/>
              </w:numPr>
              <w:wordWrap w:val="0"/>
              <w:spacing w:line="276" w:lineRule="auto"/>
              <w:rPr>
                <w:color w:val="000000" w:themeColor="text1"/>
                <w14:textFill>
                  <w14:solidFill>
                    <w14:schemeClr w14:val="tx1"/>
                  </w14:solidFill>
                </w14:textFill>
              </w:rPr>
            </w:pPr>
            <w:r>
              <w:t xml:space="preserve"> （注：须提供相关证明材料并加盖供应商鲜章）</w:t>
            </w:r>
          </w:p>
        </w:tc>
        <w:tc>
          <w:tcPr>
            <w:tcW w:w="1380" w:type="dxa"/>
            <w:noWrap/>
            <w:vAlign w:val="center"/>
          </w:tcPr>
          <w:p>
            <w:pPr>
              <w:autoSpaceDE w:val="0"/>
              <w:autoSpaceDN w:val="0"/>
              <w:adjustRightInd w:val="0"/>
              <w:spacing w:line="28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s="宋体"/>
                <w:bCs/>
                <w:color w:val="000000"/>
                <w:szCs w:val="21"/>
                <w:lang w:val="en-US" w:eastAsia="zh-CN"/>
              </w:rPr>
              <w:t>提供相关人员职称证、注册证等扫描件或复印件证明材料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28" w:type="dxa"/>
            <w:noWrap/>
            <w:vAlign w:val="center"/>
          </w:tcPr>
          <w:p>
            <w:pPr>
              <w:wordWrap w:val="0"/>
              <w:spacing w:line="280" w:lineRule="exact"/>
              <w:jc w:val="center"/>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方案</w:t>
            </w:r>
          </w:p>
        </w:tc>
        <w:tc>
          <w:tcPr>
            <w:tcW w:w="655" w:type="dxa"/>
            <w:noWrap/>
            <w:vAlign w:val="center"/>
          </w:tcPr>
          <w:p>
            <w:pPr>
              <w:autoSpaceDE w:val="0"/>
              <w:autoSpaceDN w:val="0"/>
              <w:adjustRightInd w:val="0"/>
              <w:spacing w:line="276"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lang w:val="en-US" w:eastAsia="zh-CN"/>
              </w:rPr>
              <w:t>35</w:t>
            </w:r>
          </w:p>
        </w:tc>
        <w:tc>
          <w:tcPr>
            <w:tcW w:w="5905" w:type="dxa"/>
            <w:noWrap/>
            <w:vAlign w:val="center"/>
          </w:tcPr>
          <w:p>
            <w:pPr>
              <w:widowControl/>
              <w:numPr>
                <w:ilvl w:val="0"/>
                <w:numId w:val="1"/>
              </w:numPr>
              <w:spacing w:line="240" w:lineRule="auto"/>
              <w:jc w:val="left"/>
              <w:rPr>
                <w:rFonts w:hint="eastAsia"/>
                <w:lang w:val="en-US" w:eastAsia="zh-CN"/>
              </w:rPr>
            </w:pPr>
            <w:r>
              <w:rPr>
                <w:rFonts w:hint="eastAsia"/>
                <w:lang w:val="en-US" w:eastAsia="zh-CN"/>
              </w:rPr>
              <w:t>内控制度：内控制度方面包括不限于①质量控制管理②风险管理③档案管理④岗位职责制度⑤保密制度等。</w:t>
            </w:r>
          </w:p>
          <w:p>
            <w:pPr>
              <w:numPr>
                <w:ilvl w:val="0"/>
                <w:numId w:val="0"/>
              </w:numPr>
              <w:wordWrap w:val="0"/>
              <w:spacing w:line="276" w:lineRule="auto"/>
              <w:rPr>
                <w:rFonts w:hint="eastAsia"/>
              </w:rPr>
            </w:pPr>
            <w:r>
              <w:rPr>
                <w:rFonts w:hint="eastAsia"/>
                <w:lang w:val="en-US" w:eastAsia="zh-CN"/>
              </w:rPr>
              <w:t>以上内容详细、全面、合理、有针对性且适合本项目实际情况，每单项优得3分，良得2分，一般得1分.共计15分。</w:t>
            </w:r>
          </w:p>
          <w:p>
            <w:pPr>
              <w:widowControl/>
              <w:spacing w:line="240" w:lineRule="auto"/>
              <w:jc w:val="left"/>
              <w:rPr>
                <w:rFonts w:hint="eastAsia"/>
              </w:rPr>
            </w:pPr>
            <w:r>
              <w:rPr>
                <w:rFonts w:hint="eastAsia"/>
                <w:lang w:val="en-US" w:eastAsia="zh-CN"/>
              </w:rPr>
              <w:t>2、投标人按项目基本情况并结合自身经验编制该项目建筑垃圾清运方案，方案包括但不限于①现场管理②清运时间安排、步骤③清运过程中的重难点分析及应对措施④清运过程中的风险分析及措施⑤人员组织、分工、配合等。以上内容详细、全面、合理，可操作性强，每单项项优得4分，良得3分，一般得1.5分，共计20分，未针对本项目编写不得分。</w:t>
            </w:r>
          </w:p>
        </w:tc>
        <w:tc>
          <w:tcPr>
            <w:tcW w:w="1380" w:type="dxa"/>
            <w:noWrap/>
            <w:vAlign w:val="center"/>
          </w:tcPr>
          <w:p>
            <w:pPr>
              <w:spacing w:line="280" w:lineRule="exact"/>
              <w:ind w:right="-23"/>
              <w:jc w:val="center"/>
              <w:rPr>
                <w:rFonts w:ascii="宋体" w:hAnsi="宋体"/>
                <w:color w:val="000000" w:themeColor="text1"/>
                <w:sz w:val="24"/>
                <w14:textFill>
                  <w14:solidFill>
                    <w14:schemeClr w14:val="tx1"/>
                  </w14:solidFill>
                </w14:textFill>
              </w:rPr>
            </w:pPr>
          </w:p>
        </w:tc>
      </w:tr>
      <w:bookmarkEnd w:id="3"/>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65" w:hRule="atLeast"/>
        </w:trPr>
        <w:tc>
          <w:tcPr>
            <w:tcW w:w="5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default"/>
                <w:lang w:val="en-US" w:eastAsia="zh-CN"/>
              </w:rPr>
            </w:pPr>
            <w:r>
              <w:rPr>
                <w:rFonts w:hint="eastAsia"/>
                <w:lang w:val="en-US" w:eastAsia="zh-CN"/>
              </w:rPr>
              <w:t>5</w:t>
            </w:r>
          </w:p>
        </w:tc>
        <w:tc>
          <w:tcPr>
            <w:tcW w:w="8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响应文件的规范性</w:t>
            </w:r>
          </w:p>
        </w:tc>
        <w:tc>
          <w:tcPr>
            <w:tcW w:w="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center"/>
              <w:rPr>
                <w:rFonts w:hint="eastAsia"/>
                <w:lang w:val="en-US" w:eastAsia="zh-CN"/>
              </w:rPr>
            </w:pPr>
            <w:r>
              <w:rPr>
                <w:rFonts w:hint="eastAsia"/>
                <w:lang w:val="en-US" w:eastAsia="zh-CN"/>
              </w:rPr>
              <w:t>5</w:t>
            </w:r>
          </w:p>
          <w:p>
            <w:pPr>
              <w:widowControl/>
              <w:spacing w:line="240" w:lineRule="auto"/>
              <w:jc w:val="center"/>
              <w:rPr>
                <w:rFonts w:hint="eastAsia"/>
                <w:lang w:val="en-US" w:eastAsia="zh-CN"/>
              </w:rPr>
            </w:pPr>
          </w:p>
        </w:tc>
        <w:tc>
          <w:tcPr>
            <w:tcW w:w="59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jc w:val="left"/>
              <w:rPr>
                <w:rFonts w:hint="eastAsia"/>
                <w:lang w:val="en-US" w:eastAsia="zh-CN"/>
              </w:rPr>
            </w:pPr>
            <w:r>
              <w:rPr>
                <w:rFonts w:hint="eastAsia"/>
                <w:lang w:val="en-US" w:eastAsia="zh-CN"/>
              </w:rPr>
              <w:t>响应文件制作规范，没有细微偏差情形的得5分，有一项细微偏差扣1分，直至该项分值扣完为止。</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auto"/>
              <w:ind w:firstLine="420" w:firstLineChars="200"/>
              <w:jc w:val="left"/>
              <w:rPr>
                <w:rFonts w:hint="eastAsia" w:ascii="仿宋_GB2312" w:hAnsi="Times New Roman" w:eastAsia="仿宋_GB2312" w:cs="Times New Roman"/>
                <w:color w:val="auto"/>
                <w:sz w:val="21"/>
                <w:szCs w:val="21"/>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4EF25"/>
    <w:multiLevelType w:val="singleLevel"/>
    <w:tmpl w:val="07D4EF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8B2008"/>
    <w:rsid w:val="01E7687A"/>
    <w:rsid w:val="03D34DD0"/>
    <w:rsid w:val="071A1428"/>
    <w:rsid w:val="0A71382C"/>
    <w:rsid w:val="0B881247"/>
    <w:rsid w:val="0C191D25"/>
    <w:rsid w:val="0CA23383"/>
    <w:rsid w:val="0E3E237D"/>
    <w:rsid w:val="135950FD"/>
    <w:rsid w:val="14B8345F"/>
    <w:rsid w:val="1C113504"/>
    <w:rsid w:val="1F75336D"/>
    <w:rsid w:val="24617DA9"/>
    <w:rsid w:val="27EA794D"/>
    <w:rsid w:val="28B47EC5"/>
    <w:rsid w:val="2B634913"/>
    <w:rsid w:val="33C63C91"/>
    <w:rsid w:val="35775243"/>
    <w:rsid w:val="38CA376A"/>
    <w:rsid w:val="3DAD69FC"/>
    <w:rsid w:val="409C2F01"/>
    <w:rsid w:val="47E90ACC"/>
    <w:rsid w:val="4869103F"/>
    <w:rsid w:val="4963549A"/>
    <w:rsid w:val="4D754306"/>
    <w:rsid w:val="500B7E4C"/>
    <w:rsid w:val="50125740"/>
    <w:rsid w:val="53CE621A"/>
    <w:rsid w:val="54353A5C"/>
    <w:rsid w:val="54FE1085"/>
    <w:rsid w:val="56A143BE"/>
    <w:rsid w:val="58F53C87"/>
    <w:rsid w:val="5B1419A0"/>
    <w:rsid w:val="5F58083F"/>
    <w:rsid w:val="5FD34B98"/>
    <w:rsid w:val="670D3E8E"/>
    <w:rsid w:val="6B204B95"/>
    <w:rsid w:val="714129E9"/>
    <w:rsid w:val="78690746"/>
    <w:rsid w:val="79711576"/>
    <w:rsid w:val="7B3E36DA"/>
    <w:rsid w:val="7BDF6326"/>
    <w:rsid w:val="7CFB7AD5"/>
    <w:rsid w:val="7D04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color w:val="FF0000"/>
      <w:kern w:val="0"/>
      <w:sz w:val="22"/>
      <w:szCs w:val="24"/>
    </w:rPr>
  </w:style>
  <w:style w:type="paragraph" w:styleId="3">
    <w:name w:val="Body Text Indent"/>
    <w:basedOn w:val="1"/>
    <w:next w:val="1"/>
    <w:qFormat/>
    <w:uiPriority w:val="0"/>
    <w:pPr>
      <w:ind w:firstLine="630"/>
    </w:pPr>
    <w:rPr>
      <w:sz w:val="32"/>
      <w:szCs w:val="20"/>
    </w:r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unhideWhenUsed/>
    <w:qFormat/>
    <w:uiPriority w:val="99"/>
    <w:pPr>
      <w:spacing w:after="120"/>
    </w:pPr>
  </w:style>
  <w:style w:type="paragraph" w:styleId="8">
    <w:name w:val="List Continue 2"/>
    <w:basedOn w:val="1"/>
    <w:qFormat/>
    <w:uiPriority w:val="0"/>
    <w:pPr>
      <w:spacing w:after="120"/>
      <w:ind w:left="840" w:leftChars="400"/>
    </w:pPr>
  </w:style>
  <w:style w:type="paragraph" w:styleId="9">
    <w:name w:val="Body Text First Indent"/>
    <w:basedOn w:val="7"/>
    <w:next w:val="2"/>
    <w:qFormat/>
    <w:uiPriority w:val="0"/>
    <w:pPr>
      <w:tabs>
        <w:tab w:val="left" w:pos="2138"/>
      </w:tabs>
      <w:spacing w:line="240" w:lineRule="auto"/>
      <w:ind w:firstLine="420" w:firstLineChars="100"/>
    </w:pPr>
    <w:rPr>
      <w:rFonts w:ascii="宋体" w:hAnsi="Times New Roman" w:eastAsia="宋体"/>
      <w:kern w:val="0"/>
      <w:sz w:val="20"/>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6 1 docdefaults"/>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4175</Words>
  <Characters>4307</Characters>
  <Lines>0</Lines>
  <Paragraphs>0</Paragraphs>
  <TotalTime>72</TotalTime>
  <ScaleCrop>false</ScaleCrop>
  <LinksUpToDate>false</LinksUpToDate>
  <CharactersWithSpaces>5127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2023-10-17T07:47:38Z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01D2AD9E0D3343EEA4C6920583196939_13</vt:lpwstr>
  </property>
</Properties>
</file>